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B0311B" w14:textId="7C1D40E1" w:rsidR="00EF01E5" w:rsidRPr="00EF01E5" w:rsidRDefault="00EF01E5" w:rsidP="00EF01E5">
      <w:pPr>
        <w:spacing w:after="0" w:line="360" w:lineRule="auto"/>
        <w:jc w:val="center"/>
        <w:rPr>
          <w:rFonts w:ascii="Arial" w:eastAsia="Times New Roman" w:hAnsi="Arial" w:cs="Arial"/>
          <w:b/>
          <w:sz w:val="36"/>
          <w:szCs w:val="36"/>
          <w:u w:val="single"/>
          <w:lang w:eastAsia="fr-FR"/>
        </w:rPr>
      </w:pPr>
      <w:bookmarkStart w:id="0" w:name="_GoBack"/>
      <w:bookmarkEnd w:id="0"/>
      <w:r w:rsidRPr="00EF01E5">
        <w:rPr>
          <w:rFonts w:ascii="Arial" w:eastAsia="Times New Roman" w:hAnsi="Arial" w:cs="Arial"/>
          <w:b/>
          <w:sz w:val="36"/>
          <w:szCs w:val="36"/>
          <w:u w:val="single"/>
          <w:lang w:eastAsia="fr-FR"/>
        </w:rPr>
        <w:t>Bilan 201</w:t>
      </w:r>
      <w:r w:rsidR="00620F33">
        <w:rPr>
          <w:rFonts w:ascii="Arial" w:eastAsia="Times New Roman" w:hAnsi="Arial" w:cs="Arial"/>
          <w:b/>
          <w:sz w:val="36"/>
          <w:szCs w:val="36"/>
          <w:u w:val="single"/>
          <w:lang w:eastAsia="fr-FR"/>
        </w:rPr>
        <w:t>9</w:t>
      </w:r>
      <w:r w:rsidR="009537FA">
        <w:rPr>
          <w:rFonts w:ascii="Arial" w:eastAsia="Times New Roman" w:hAnsi="Arial" w:cs="Arial"/>
          <w:b/>
          <w:sz w:val="36"/>
          <w:szCs w:val="36"/>
          <w:u w:val="single"/>
          <w:lang w:eastAsia="fr-FR"/>
        </w:rPr>
        <w:t xml:space="preserve"> et prévisions 20</w:t>
      </w:r>
      <w:r w:rsidR="00620F33">
        <w:rPr>
          <w:rFonts w:ascii="Arial" w:eastAsia="Times New Roman" w:hAnsi="Arial" w:cs="Arial"/>
          <w:b/>
          <w:sz w:val="36"/>
          <w:szCs w:val="36"/>
          <w:u w:val="single"/>
          <w:lang w:eastAsia="fr-FR"/>
        </w:rPr>
        <w:t>20</w:t>
      </w:r>
    </w:p>
    <w:tbl>
      <w:tblPr>
        <w:tblStyle w:val="Grilledutableau"/>
        <w:tblW w:w="0" w:type="auto"/>
        <w:tblLook w:val="04A0" w:firstRow="1" w:lastRow="0" w:firstColumn="1" w:lastColumn="0" w:noHBand="0" w:noVBand="1"/>
      </w:tblPr>
      <w:tblGrid>
        <w:gridCol w:w="9062"/>
      </w:tblGrid>
      <w:tr w:rsidR="00EF01E5" w14:paraId="50463381" w14:textId="77777777" w:rsidTr="00EF01E5">
        <w:tc>
          <w:tcPr>
            <w:tcW w:w="9062" w:type="dxa"/>
          </w:tcPr>
          <w:p w14:paraId="3947461C" w14:textId="683319BC" w:rsidR="006210B0" w:rsidRDefault="00044E72" w:rsidP="00BB1941">
            <w:pPr>
              <w:spacing w:line="360" w:lineRule="auto"/>
              <w:jc w:val="both"/>
              <w:rPr>
                <w:rFonts w:ascii="Arial" w:hAnsi="Arial" w:cs="Arial"/>
                <w:b/>
              </w:rPr>
            </w:pPr>
            <w:r>
              <w:rPr>
                <w:rFonts w:ascii="Arial" w:hAnsi="Arial" w:cs="Arial"/>
                <w:b/>
              </w:rPr>
              <w:t xml:space="preserve">En 2019, le rythme de croissance </w:t>
            </w:r>
            <w:r w:rsidR="004D1C13">
              <w:rPr>
                <w:rFonts w:ascii="Arial" w:hAnsi="Arial" w:cs="Arial"/>
                <w:b/>
              </w:rPr>
              <w:t>d’activité du bâtiment reste</w:t>
            </w:r>
            <w:r>
              <w:rPr>
                <w:rFonts w:ascii="Arial" w:hAnsi="Arial" w:cs="Arial"/>
                <w:b/>
              </w:rPr>
              <w:t xml:space="preserve"> quasi-inchangé</w:t>
            </w:r>
            <w:r w:rsidR="004D1C13">
              <w:rPr>
                <w:rFonts w:ascii="Arial" w:hAnsi="Arial" w:cs="Arial"/>
                <w:b/>
              </w:rPr>
              <w:t>,</w:t>
            </w:r>
            <w:r>
              <w:rPr>
                <w:rFonts w:ascii="Arial" w:hAnsi="Arial" w:cs="Arial"/>
                <w:b/>
              </w:rPr>
              <w:t xml:space="preserve"> </w:t>
            </w:r>
            <w:r w:rsidR="003A300C">
              <w:rPr>
                <w:rFonts w:ascii="Arial" w:hAnsi="Arial" w:cs="Arial"/>
                <w:b/>
              </w:rPr>
              <w:t xml:space="preserve">à +1,2 % en volume. En détail, le logement neuf s’affiche encore en hausse de </w:t>
            </w:r>
            <w:r w:rsidR="00043F4D">
              <w:rPr>
                <w:rFonts w:ascii="Arial" w:hAnsi="Arial" w:cs="Arial"/>
                <w:b/>
              </w:rPr>
              <w:t>0,8 </w:t>
            </w:r>
            <w:r w:rsidR="003A300C">
              <w:rPr>
                <w:rFonts w:ascii="Arial" w:hAnsi="Arial" w:cs="Arial"/>
                <w:b/>
              </w:rPr>
              <w:t>%, malgré une baisse de près de 10 000 ouvertures de chantier</w:t>
            </w:r>
            <w:r w:rsidR="00AA7F1B">
              <w:rPr>
                <w:rFonts w:ascii="Arial" w:hAnsi="Arial" w:cs="Arial"/>
                <w:b/>
              </w:rPr>
              <w:t xml:space="preserve"> (408 000 unités attendues)</w:t>
            </w:r>
            <w:r w:rsidR="00E67E1E">
              <w:rPr>
                <w:rFonts w:ascii="Arial" w:hAnsi="Arial" w:cs="Arial"/>
                <w:b/>
              </w:rPr>
              <w:t>, imputable au seul collectif</w:t>
            </w:r>
            <w:r w:rsidR="00740BCA">
              <w:rPr>
                <w:rFonts w:ascii="Arial" w:hAnsi="Arial" w:cs="Arial"/>
                <w:b/>
              </w:rPr>
              <w:t xml:space="preserve">. Ce dernier </w:t>
            </w:r>
            <w:r w:rsidR="00137019">
              <w:rPr>
                <w:rFonts w:ascii="Arial" w:hAnsi="Arial" w:cs="Arial"/>
                <w:b/>
              </w:rPr>
              <w:t xml:space="preserve">segment </w:t>
            </w:r>
            <w:r w:rsidR="00E67E1E">
              <w:rPr>
                <w:rFonts w:ascii="Arial" w:hAnsi="Arial" w:cs="Arial"/>
                <w:b/>
              </w:rPr>
              <w:t xml:space="preserve">voit également ses permis s’effondrer d’environ 10 %, </w:t>
            </w:r>
            <w:r w:rsidR="00AA7F1B">
              <w:rPr>
                <w:rFonts w:ascii="Arial" w:hAnsi="Arial" w:cs="Arial"/>
                <w:b/>
              </w:rPr>
              <w:t>du fait</w:t>
            </w:r>
            <w:r w:rsidR="00E67E1E">
              <w:rPr>
                <w:rFonts w:ascii="Arial" w:hAnsi="Arial" w:cs="Arial"/>
                <w:b/>
              </w:rPr>
              <w:t xml:space="preserve"> du décrochage de la commande H</w:t>
            </w:r>
            <w:r w:rsidR="00137019">
              <w:rPr>
                <w:rFonts w:ascii="Arial" w:hAnsi="Arial" w:cs="Arial"/>
                <w:b/>
              </w:rPr>
              <w:t>LM</w:t>
            </w:r>
            <w:r w:rsidR="00E67E1E">
              <w:rPr>
                <w:rFonts w:ascii="Arial" w:hAnsi="Arial" w:cs="Arial"/>
                <w:b/>
              </w:rPr>
              <w:t xml:space="preserve">. En revanche, l’individuel </w:t>
            </w:r>
            <w:r w:rsidR="00AA7F1B">
              <w:rPr>
                <w:rFonts w:ascii="Arial" w:hAnsi="Arial" w:cs="Arial"/>
                <w:b/>
              </w:rPr>
              <w:t>bénéficie</w:t>
            </w:r>
            <w:r w:rsidR="00E67E1E">
              <w:rPr>
                <w:rFonts w:ascii="Arial" w:hAnsi="Arial" w:cs="Arial"/>
                <w:b/>
              </w:rPr>
              <w:t xml:space="preserve"> </w:t>
            </w:r>
            <w:r w:rsidR="00AA7F1B">
              <w:rPr>
                <w:rFonts w:ascii="Arial" w:hAnsi="Arial" w:cs="Arial"/>
                <w:b/>
              </w:rPr>
              <w:t xml:space="preserve">du </w:t>
            </w:r>
            <w:r w:rsidR="00E67E1E">
              <w:rPr>
                <w:rFonts w:ascii="Arial" w:hAnsi="Arial" w:cs="Arial"/>
                <w:b/>
              </w:rPr>
              <w:t xml:space="preserve">rebond </w:t>
            </w:r>
            <w:r w:rsidR="00AA7F1B">
              <w:rPr>
                <w:rFonts w:ascii="Arial" w:hAnsi="Arial" w:cs="Arial"/>
                <w:b/>
              </w:rPr>
              <w:t xml:space="preserve">de 5 % </w:t>
            </w:r>
            <w:r w:rsidR="00E67E1E">
              <w:rPr>
                <w:rFonts w:ascii="Arial" w:hAnsi="Arial" w:cs="Arial"/>
                <w:b/>
              </w:rPr>
              <w:t>des ventes dans le diffus, qui s’explique par une amélioration de l’environnement macro-financier.</w:t>
            </w:r>
            <w:r w:rsidR="00043F4D">
              <w:rPr>
                <w:rFonts w:ascii="Arial" w:hAnsi="Arial" w:cs="Arial"/>
                <w:b/>
              </w:rPr>
              <w:t xml:space="preserve"> Pour </w:t>
            </w:r>
            <w:r w:rsidR="00AA7F1B">
              <w:rPr>
                <w:rFonts w:ascii="Arial" w:hAnsi="Arial" w:cs="Arial"/>
                <w:b/>
              </w:rPr>
              <w:t>sa part,</w:t>
            </w:r>
            <w:r w:rsidR="00043F4D">
              <w:rPr>
                <w:rFonts w:ascii="Arial" w:hAnsi="Arial" w:cs="Arial"/>
                <w:b/>
              </w:rPr>
              <w:t xml:space="preserve"> </w:t>
            </w:r>
            <w:r w:rsidR="00AA7F1B">
              <w:rPr>
                <w:rFonts w:ascii="Arial" w:hAnsi="Arial" w:cs="Arial"/>
                <w:b/>
              </w:rPr>
              <w:t>la production en</w:t>
            </w:r>
            <w:r w:rsidR="00043F4D">
              <w:rPr>
                <w:rFonts w:ascii="Arial" w:hAnsi="Arial" w:cs="Arial"/>
                <w:b/>
              </w:rPr>
              <w:t xml:space="preserve"> non résidentiel neuf continue de progresser rapidement à +5,1 %, dans le sillage de hausses respectives de 5,9 % et 6,9 % des surfaces autorisées et commencées, hors </w:t>
            </w:r>
            <w:r w:rsidR="00AA7F1B">
              <w:rPr>
                <w:rFonts w:ascii="Arial" w:hAnsi="Arial" w:cs="Arial"/>
                <w:b/>
              </w:rPr>
              <w:t xml:space="preserve">locaux </w:t>
            </w:r>
            <w:r w:rsidR="00043F4D">
              <w:rPr>
                <w:rFonts w:ascii="Arial" w:hAnsi="Arial" w:cs="Arial"/>
                <w:b/>
              </w:rPr>
              <w:t>agricole</w:t>
            </w:r>
            <w:r w:rsidR="00AA7F1B">
              <w:rPr>
                <w:rFonts w:ascii="Arial" w:hAnsi="Arial" w:cs="Arial"/>
                <w:b/>
              </w:rPr>
              <w:t>s</w:t>
            </w:r>
            <w:r w:rsidR="00043F4D">
              <w:rPr>
                <w:rFonts w:ascii="Arial" w:hAnsi="Arial" w:cs="Arial"/>
                <w:b/>
              </w:rPr>
              <w:t xml:space="preserve">. Quant </w:t>
            </w:r>
            <w:r w:rsidR="00F65716">
              <w:rPr>
                <w:rFonts w:ascii="Arial" w:hAnsi="Arial" w:cs="Arial"/>
                <w:b/>
              </w:rPr>
              <w:t>au segment de</w:t>
            </w:r>
            <w:r w:rsidR="00043F4D">
              <w:rPr>
                <w:rFonts w:ascii="Arial" w:hAnsi="Arial" w:cs="Arial"/>
                <w:b/>
              </w:rPr>
              <w:t xml:space="preserve"> l’amélioration-entretien, il déçoit avec une </w:t>
            </w:r>
            <w:r w:rsidR="00AA7F1B">
              <w:rPr>
                <w:rFonts w:ascii="Arial" w:hAnsi="Arial" w:cs="Arial"/>
                <w:b/>
              </w:rPr>
              <w:t>très modeste</w:t>
            </w:r>
            <w:r w:rsidR="00BB1941">
              <w:rPr>
                <w:rFonts w:ascii="Arial" w:hAnsi="Arial" w:cs="Arial"/>
                <w:b/>
              </w:rPr>
              <w:t xml:space="preserve"> hausse </w:t>
            </w:r>
            <w:r w:rsidR="00AA7F1B">
              <w:rPr>
                <w:rFonts w:ascii="Arial" w:hAnsi="Arial" w:cs="Arial"/>
                <w:b/>
              </w:rPr>
              <w:t>de</w:t>
            </w:r>
            <w:r w:rsidR="00BB1941">
              <w:rPr>
                <w:rFonts w:ascii="Arial" w:hAnsi="Arial" w:cs="Arial"/>
                <w:b/>
              </w:rPr>
              <w:t xml:space="preserve"> 0,2 %, </w:t>
            </w:r>
            <w:r w:rsidR="00AA7F1B">
              <w:rPr>
                <w:rFonts w:ascii="Arial" w:hAnsi="Arial" w:cs="Arial"/>
                <w:b/>
              </w:rPr>
              <w:t>l’</w:t>
            </w:r>
            <w:r w:rsidR="00BB1941">
              <w:rPr>
                <w:rFonts w:ascii="Arial" w:hAnsi="Arial" w:cs="Arial"/>
                <w:b/>
              </w:rPr>
              <w:t>embellie observée depuis le printemps</w:t>
            </w:r>
            <w:r w:rsidR="00AA7F1B">
              <w:rPr>
                <w:rFonts w:ascii="Arial" w:hAnsi="Arial" w:cs="Arial"/>
                <w:b/>
              </w:rPr>
              <w:t xml:space="preserve"> ne permettant pas de compenser le très mauvais premier trimestre de l’année</w:t>
            </w:r>
            <w:r w:rsidR="00BB1941">
              <w:rPr>
                <w:rFonts w:ascii="Arial" w:hAnsi="Arial" w:cs="Arial"/>
                <w:b/>
              </w:rPr>
              <w:t xml:space="preserve">. Par ailleurs, malgré des difficultés de recrutement toujours très présentes, </w:t>
            </w:r>
            <w:r w:rsidR="00AA7F1B">
              <w:rPr>
                <w:rFonts w:ascii="Arial" w:hAnsi="Arial" w:cs="Arial"/>
                <w:b/>
              </w:rPr>
              <w:t>près</w:t>
            </w:r>
            <w:r w:rsidR="00BB1941">
              <w:rPr>
                <w:rFonts w:ascii="Arial" w:hAnsi="Arial" w:cs="Arial"/>
                <w:b/>
              </w:rPr>
              <w:t xml:space="preserve"> de 35 000 emplois auront été créés, dont </w:t>
            </w:r>
            <w:r w:rsidR="00AA7F1B">
              <w:rPr>
                <w:rFonts w:ascii="Arial" w:hAnsi="Arial" w:cs="Arial"/>
                <w:b/>
              </w:rPr>
              <w:t>environ</w:t>
            </w:r>
            <w:r w:rsidR="00BB1941">
              <w:rPr>
                <w:rFonts w:ascii="Arial" w:hAnsi="Arial" w:cs="Arial"/>
                <w:b/>
              </w:rPr>
              <w:t xml:space="preserve"> 30 000 salariés.</w:t>
            </w:r>
            <w:r w:rsidR="008D0E9B">
              <w:rPr>
                <w:rFonts w:ascii="Arial" w:hAnsi="Arial" w:cs="Arial"/>
                <w:b/>
              </w:rPr>
              <w:t xml:space="preserve"> </w:t>
            </w:r>
            <w:r w:rsidR="00F65716">
              <w:rPr>
                <w:rFonts w:ascii="Arial" w:hAnsi="Arial" w:cs="Arial"/>
                <w:b/>
              </w:rPr>
              <w:t>En</w:t>
            </w:r>
            <w:r w:rsidR="00AA7F1B">
              <w:rPr>
                <w:rFonts w:ascii="Arial" w:hAnsi="Arial" w:cs="Arial"/>
                <w:b/>
              </w:rPr>
              <w:t xml:space="preserve"> cette quatrième année de reprise</w:t>
            </w:r>
            <w:r w:rsidR="008D0E9B">
              <w:rPr>
                <w:rFonts w:ascii="Arial" w:hAnsi="Arial" w:cs="Arial"/>
                <w:b/>
              </w:rPr>
              <w:t>, la situation financière des entreprises</w:t>
            </w:r>
            <w:r w:rsidR="00A57828">
              <w:rPr>
                <w:rFonts w:ascii="Arial" w:hAnsi="Arial" w:cs="Arial"/>
                <w:b/>
              </w:rPr>
              <w:t xml:space="preserve"> </w:t>
            </w:r>
            <w:r w:rsidR="00AA7F1B">
              <w:rPr>
                <w:rFonts w:ascii="Arial" w:hAnsi="Arial" w:cs="Arial"/>
                <w:b/>
              </w:rPr>
              <w:t>reste</w:t>
            </w:r>
            <w:r w:rsidR="00A57828">
              <w:rPr>
                <w:rFonts w:ascii="Arial" w:hAnsi="Arial" w:cs="Arial"/>
                <w:b/>
              </w:rPr>
              <w:t xml:space="preserve"> </w:t>
            </w:r>
            <w:r w:rsidR="00F65716">
              <w:rPr>
                <w:rFonts w:ascii="Arial" w:hAnsi="Arial" w:cs="Arial"/>
                <w:b/>
              </w:rPr>
              <w:t>toutefois tendue</w:t>
            </w:r>
            <w:r w:rsidR="008D0E9B">
              <w:rPr>
                <w:rFonts w:ascii="Arial" w:hAnsi="Arial" w:cs="Arial"/>
                <w:b/>
              </w:rPr>
              <w:t xml:space="preserve">, la petite hausse des prix </w:t>
            </w:r>
            <w:r w:rsidR="00AA7F1B">
              <w:rPr>
                <w:rFonts w:ascii="Arial" w:hAnsi="Arial" w:cs="Arial"/>
                <w:b/>
              </w:rPr>
              <w:t xml:space="preserve">bâtiment </w:t>
            </w:r>
            <w:r w:rsidR="008D0E9B">
              <w:rPr>
                <w:rFonts w:ascii="Arial" w:hAnsi="Arial" w:cs="Arial"/>
                <w:b/>
              </w:rPr>
              <w:t xml:space="preserve">suffisant à peine à compenser l’augmentation des coûts, notamment </w:t>
            </w:r>
            <w:r w:rsidR="00AF6F7A">
              <w:rPr>
                <w:rFonts w:ascii="Arial" w:hAnsi="Arial" w:cs="Arial"/>
                <w:b/>
              </w:rPr>
              <w:t>de</w:t>
            </w:r>
            <w:r w:rsidR="008D0E9B">
              <w:rPr>
                <w:rFonts w:ascii="Arial" w:hAnsi="Arial" w:cs="Arial"/>
                <w:b/>
              </w:rPr>
              <w:t xml:space="preserve"> main d’œuvre</w:t>
            </w:r>
            <w:r w:rsidR="00A57828">
              <w:rPr>
                <w:rFonts w:ascii="Arial" w:hAnsi="Arial" w:cs="Arial"/>
                <w:b/>
              </w:rPr>
              <w:t>. En conséquence</w:t>
            </w:r>
            <w:r w:rsidR="008D0E9B">
              <w:rPr>
                <w:rFonts w:ascii="Arial" w:hAnsi="Arial" w:cs="Arial"/>
                <w:b/>
              </w:rPr>
              <w:t>, les marges ressortent</w:t>
            </w:r>
            <w:r w:rsidR="00A57828">
              <w:rPr>
                <w:rFonts w:ascii="Arial" w:hAnsi="Arial" w:cs="Arial"/>
                <w:b/>
              </w:rPr>
              <w:t xml:space="preserve"> quasi-étales, </w:t>
            </w:r>
            <w:r w:rsidR="00AF6F7A">
              <w:rPr>
                <w:rFonts w:ascii="Arial" w:hAnsi="Arial" w:cs="Arial"/>
                <w:b/>
              </w:rPr>
              <w:t>en dépit du</w:t>
            </w:r>
            <w:r w:rsidR="00A57828">
              <w:rPr>
                <w:rFonts w:ascii="Arial" w:hAnsi="Arial" w:cs="Arial"/>
                <w:b/>
              </w:rPr>
              <w:t xml:space="preserve"> double versement du CICE </w:t>
            </w:r>
            <w:r w:rsidR="00AF6F7A">
              <w:rPr>
                <w:rFonts w:ascii="Arial" w:hAnsi="Arial" w:cs="Arial"/>
                <w:b/>
              </w:rPr>
              <w:t xml:space="preserve">au titre des salaires 2018 </w:t>
            </w:r>
            <w:r w:rsidR="00A57828">
              <w:rPr>
                <w:rFonts w:ascii="Arial" w:hAnsi="Arial" w:cs="Arial"/>
                <w:b/>
              </w:rPr>
              <w:t xml:space="preserve">et </w:t>
            </w:r>
            <w:r w:rsidR="00AF6F7A">
              <w:rPr>
                <w:rFonts w:ascii="Arial" w:hAnsi="Arial" w:cs="Arial"/>
                <w:b/>
              </w:rPr>
              <w:t>de</w:t>
            </w:r>
            <w:r w:rsidR="00A57828">
              <w:rPr>
                <w:rFonts w:ascii="Arial" w:hAnsi="Arial" w:cs="Arial"/>
                <w:b/>
              </w:rPr>
              <w:t xml:space="preserve"> la baisse de charges qui l’a remplacé</w:t>
            </w:r>
            <w:r w:rsidR="00AF6F7A">
              <w:rPr>
                <w:rFonts w:ascii="Arial" w:hAnsi="Arial" w:cs="Arial"/>
                <w:b/>
              </w:rPr>
              <w:t xml:space="preserve"> pour les salaires 2019</w:t>
            </w:r>
            <w:r w:rsidR="008D0E9B">
              <w:rPr>
                <w:rFonts w:ascii="Arial" w:hAnsi="Arial" w:cs="Arial"/>
                <w:b/>
              </w:rPr>
              <w:t>.</w:t>
            </w:r>
          </w:p>
          <w:p w14:paraId="4AA25290" w14:textId="25788C91" w:rsidR="00010AED" w:rsidRPr="00DC1554" w:rsidRDefault="00BB1941" w:rsidP="00EE08B3">
            <w:pPr>
              <w:spacing w:line="360" w:lineRule="auto"/>
              <w:jc w:val="both"/>
              <w:rPr>
                <w:rFonts w:ascii="Arial" w:hAnsi="Arial" w:cs="Arial"/>
                <w:b/>
              </w:rPr>
            </w:pPr>
            <w:r>
              <w:rPr>
                <w:rFonts w:ascii="Arial" w:hAnsi="Arial" w:cs="Arial"/>
                <w:b/>
              </w:rPr>
              <w:t>En 2020, l’atterrissage en douceur se pour</w:t>
            </w:r>
            <w:r w:rsidR="006D5F2D">
              <w:rPr>
                <w:rFonts w:ascii="Arial" w:hAnsi="Arial" w:cs="Arial"/>
                <w:b/>
              </w:rPr>
              <w:t>suivra</w:t>
            </w:r>
            <w:r w:rsidR="00010AED">
              <w:rPr>
                <w:rFonts w:ascii="Arial" w:hAnsi="Arial" w:cs="Arial"/>
                <w:b/>
              </w:rPr>
              <w:t xml:space="preserve"> dans le bâtiment</w:t>
            </w:r>
            <w:r w:rsidR="006D5F2D">
              <w:rPr>
                <w:rFonts w:ascii="Arial" w:hAnsi="Arial" w:cs="Arial"/>
                <w:b/>
              </w:rPr>
              <w:t xml:space="preserve">, </w:t>
            </w:r>
            <w:r w:rsidR="00AF6F7A">
              <w:rPr>
                <w:rFonts w:ascii="Arial" w:hAnsi="Arial" w:cs="Arial"/>
                <w:b/>
              </w:rPr>
              <w:t xml:space="preserve">avec une </w:t>
            </w:r>
            <w:r w:rsidR="006D5F2D">
              <w:rPr>
                <w:rFonts w:ascii="Arial" w:hAnsi="Arial" w:cs="Arial"/>
                <w:b/>
              </w:rPr>
              <w:t xml:space="preserve">activité </w:t>
            </w:r>
            <w:r w:rsidR="00AF6F7A">
              <w:rPr>
                <w:rFonts w:ascii="Arial" w:hAnsi="Arial" w:cs="Arial"/>
                <w:b/>
              </w:rPr>
              <w:t xml:space="preserve">en </w:t>
            </w:r>
            <w:r w:rsidR="00F65716">
              <w:rPr>
                <w:rFonts w:ascii="Arial" w:hAnsi="Arial" w:cs="Arial"/>
                <w:b/>
              </w:rPr>
              <w:t xml:space="preserve">petite </w:t>
            </w:r>
            <w:r w:rsidR="00AF6F7A">
              <w:rPr>
                <w:rFonts w:ascii="Arial" w:hAnsi="Arial" w:cs="Arial"/>
                <w:b/>
              </w:rPr>
              <w:t xml:space="preserve">hausse </w:t>
            </w:r>
            <w:r w:rsidR="006D5F2D">
              <w:rPr>
                <w:rFonts w:ascii="Arial" w:hAnsi="Arial" w:cs="Arial"/>
                <w:b/>
              </w:rPr>
              <w:t xml:space="preserve">de 0,8 %, hors effet prix. Le logement neuf, </w:t>
            </w:r>
            <w:r w:rsidR="00AF6F7A">
              <w:rPr>
                <w:rFonts w:ascii="Arial" w:hAnsi="Arial" w:cs="Arial"/>
                <w:b/>
              </w:rPr>
              <w:t>résistera avec un</w:t>
            </w:r>
            <w:r w:rsidR="006D5F2D">
              <w:rPr>
                <w:rFonts w:ascii="Arial" w:hAnsi="Arial" w:cs="Arial"/>
                <w:b/>
              </w:rPr>
              <w:t xml:space="preserve"> retrait </w:t>
            </w:r>
            <w:r w:rsidR="00AF6F7A">
              <w:rPr>
                <w:rFonts w:ascii="Arial" w:hAnsi="Arial" w:cs="Arial"/>
                <w:b/>
              </w:rPr>
              <w:t>limité à</w:t>
            </w:r>
            <w:r w:rsidR="006D5F2D">
              <w:rPr>
                <w:rFonts w:ascii="Arial" w:hAnsi="Arial" w:cs="Arial"/>
                <w:b/>
              </w:rPr>
              <w:t xml:space="preserve"> 1 %, </w:t>
            </w:r>
            <w:r w:rsidR="009378A9">
              <w:rPr>
                <w:rFonts w:ascii="Arial" w:hAnsi="Arial" w:cs="Arial"/>
                <w:b/>
              </w:rPr>
              <w:t xml:space="preserve">mais </w:t>
            </w:r>
            <w:r w:rsidR="00AF6F7A">
              <w:rPr>
                <w:rFonts w:ascii="Arial" w:hAnsi="Arial" w:cs="Arial"/>
                <w:b/>
              </w:rPr>
              <w:t>le nombre de mise en chantier tombera à</w:t>
            </w:r>
            <w:r w:rsidR="00010AED">
              <w:rPr>
                <w:rFonts w:ascii="Arial" w:hAnsi="Arial" w:cs="Arial"/>
                <w:b/>
              </w:rPr>
              <w:t xml:space="preserve"> </w:t>
            </w:r>
            <w:r w:rsidR="009378A9">
              <w:rPr>
                <w:rFonts w:ascii="Arial" w:hAnsi="Arial" w:cs="Arial"/>
                <w:b/>
              </w:rPr>
              <w:t xml:space="preserve">400 000, </w:t>
            </w:r>
            <w:r w:rsidR="00AF6F7A">
              <w:rPr>
                <w:rFonts w:ascii="Arial" w:hAnsi="Arial" w:cs="Arial"/>
                <w:b/>
              </w:rPr>
              <w:t>soit</w:t>
            </w:r>
            <w:r w:rsidR="00010AED">
              <w:rPr>
                <w:rFonts w:ascii="Arial" w:hAnsi="Arial" w:cs="Arial"/>
                <w:b/>
              </w:rPr>
              <w:t xml:space="preserve"> un</w:t>
            </w:r>
            <w:r w:rsidR="009378A9">
              <w:rPr>
                <w:rFonts w:ascii="Arial" w:hAnsi="Arial" w:cs="Arial"/>
                <w:b/>
              </w:rPr>
              <w:t xml:space="preserve"> </w:t>
            </w:r>
            <w:r w:rsidR="00010AED">
              <w:rPr>
                <w:rFonts w:ascii="Arial" w:hAnsi="Arial" w:cs="Arial"/>
                <w:b/>
              </w:rPr>
              <w:t>repli</w:t>
            </w:r>
            <w:r w:rsidR="009378A9">
              <w:rPr>
                <w:rFonts w:ascii="Arial" w:hAnsi="Arial" w:cs="Arial"/>
                <w:b/>
              </w:rPr>
              <w:t xml:space="preserve"> de 8 000 unités</w:t>
            </w:r>
            <w:r w:rsidR="00AF6F7A">
              <w:rPr>
                <w:rFonts w:ascii="Arial" w:hAnsi="Arial" w:cs="Arial"/>
                <w:b/>
              </w:rPr>
              <w:t>, encore une fois dû au collectif</w:t>
            </w:r>
            <w:r w:rsidR="009378A9">
              <w:rPr>
                <w:rFonts w:ascii="Arial" w:hAnsi="Arial" w:cs="Arial"/>
                <w:b/>
              </w:rPr>
              <w:t xml:space="preserve">. </w:t>
            </w:r>
            <w:r w:rsidR="00FE2FEA">
              <w:rPr>
                <w:rFonts w:ascii="Arial" w:hAnsi="Arial" w:cs="Arial"/>
                <w:b/>
              </w:rPr>
              <w:t>S’agissant d</w:t>
            </w:r>
            <w:r w:rsidR="00AF6F7A">
              <w:rPr>
                <w:rFonts w:ascii="Arial" w:hAnsi="Arial" w:cs="Arial"/>
                <w:b/>
              </w:rPr>
              <w:t>e l’activité en</w:t>
            </w:r>
            <w:r w:rsidR="00FE2FEA">
              <w:rPr>
                <w:rFonts w:ascii="Arial" w:hAnsi="Arial" w:cs="Arial"/>
                <w:b/>
              </w:rPr>
              <w:t xml:space="preserve"> non résidentiel neuf, </w:t>
            </w:r>
            <w:r w:rsidR="000F1F2B">
              <w:rPr>
                <w:rFonts w:ascii="Arial" w:hAnsi="Arial" w:cs="Arial"/>
                <w:b/>
              </w:rPr>
              <w:t xml:space="preserve">bien qu’en décélération, </w:t>
            </w:r>
            <w:r w:rsidR="00AF6F7A">
              <w:rPr>
                <w:rFonts w:ascii="Arial" w:hAnsi="Arial" w:cs="Arial"/>
                <w:b/>
              </w:rPr>
              <w:t>elle</w:t>
            </w:r>
            <w:r w:rsidR="000F1F2B">
              <w:rPr>
                <w:rFonts w:ascii="Arial" w:hAnsi="Arial" w:cs="Arial"/>
                <w:b/>
              </w:rPr>
              <w:t xml:space="preserve"> restera de bonne tene</w:t>
            </w:r>
            <w:r w:rsidR="00AF6F7A">
              <w:rPr>
                <w:rFonts w:ascii="Arial" w:hAnsi="Arial" w:cs="Arial"/>
                <w:b/>
              </w:rPr>
              <w:t>ur</w:t>
            </w:r>
            <w:r w:rsidR="000F1F2B">
              <w:rPr>
                <w:rFonts w:ascii="Arial" w:hAnsi="Arial" w:cs="Arial"/>
                <w:b/>
              </w:rPr>
              <w:t xml:space="preserve"> à</w:t>
            </w:r>
            <w:r w:rsidR="00D05443">
              <w:rPr>
                <w:rFonts w:ascii="Arial" w:hAnsi="Arial" w:cs="Arial"/>
                <w:b/>
              </w:rPr>
              <w:t xml:space="preserve"> </w:t>
            </w:r>
            <w:r w:rsidR="000F1F2B">
              <w:rPr>
                <w:rFonts w:ascii="Arial" w:hAnsi="Arial" w:cs="Arial"/>
                <w:b/>
              </w:rPr>
              <w:t>+</w:t>
            </w:r>
            <w:r w:rsidR="00D05443">
              <w:rPr>
                <w:rFonts w:ascii="Arial" w:hAnsi="Arial" w:cs="Arial"/>
                <w:b/>
              </w:rPr>
              <w:t>2,8 %</w:t>
            </w:r>
            <w:r w:rsidR="000F1F2B">
              <w:rPr>
                <w:rFonts w:ascii="Arial" w:hAnsi="Arial" w:cs="Arial"/>
                <w:b/>
              </w:rPr>
              <w:t xml:space="preserve">, notamment </w:t>
            </w:r>
            <w:r w:rsidR="00AF6F7A">
              <w:rPr>
                <w:rFonts w:ascii="Arial" w:hAnsi="Arial" w:cs="Arial"/>
                <w:b/>
              </w:rPr>
              <w:t xml:space="preserve">grâce </w:t>
            </w:r>
            <w:r w:rsidR="000F1F2B">
              <w:rPr>
                <w:rFonts w:ascii="Arial" w:hAnsi="Arial" w:cs="Arial"/>
                <w:b/>
              </w:rPr>
              <w:t>au segment des bâtiments industriels et assimilés</w:t>
            </w:r>
            <w:r w:rsidR="00D05443">
              <w:rPr>
                <w:rFonts w:ascii="Arial" w:hAnsi="Arial" w:cs="Arial"/>
                <w:b/>
              </w:rPr>
              <w:t xml:space="preserve">. </w:t>
            </w:r>
            <w:r w:rsidR="008D0E9B">
              <w:rPr>
                <w:rFonts w:ascii="Arial" w:hAnsi="Arial" w:cs="Arial"/>
                <w:b/>
              </w:rPr>
              <w:t xml:space="preserve">Quant </w:t>
            </w:r>
            <w:r w:rsidR="00AF6F7A">
              <w:rPr>
                <w:rFonts w:ascii="Arial" w:hAnsi="Arial" w:cs="Arial"/>
                <w:b/>
              </w:rPr>
              <w:t>au marché de</w:t>
            </w:r>
            <w:r w:rsidR="008D0E9B">
              <w:rPr>
                <w:rFonts w:ascii="Arial" w:hAnsi="Arial" w:cs="Arial"/>
                <w:b/>
              </w:rPr>
              <w:t xml:space="preserve"> </w:t>
            </w:r>
            <w:r w:rsidR="00D05443">
              <w:rPr>
                <w:rFonts w:ascii="Arial" w:hAnsi="Arial" w:cs="Arial"/>
                <w:b/>
              </w:rPr>
              <w:t>l’amélioration-entretien</w:t>
            </w:r>
            <w:r w:rsidR="008D0E9B">
              <w:rPr>
                <w:rFonts w:ascii="Arial" w:hAnsi="Arial" w:cs="Arial"/>
                <w:b/>
              </w:rPr>
              <w:t>, il</w:t>
            </w:r>
            <w:r w:rsidR="00CF1B46">
              <w:rPr>
                <w:rFonts w:ascii="Arial" w:hAnsi="Arial" w:cs="Arial"/>
                <w:b/>
              </w:rPr>
              <w:t xml:space="preserve"> accélèrera un peu </w:t>
            </w:r>
            <w:proofErr w:type="gramStart"/>
            <w:r w:rsidR="00CF1B46">
              <w:rPr>
                <w:rFonts w:ascii="Arial" w:hAnsi="Arial" w:cs="Arial"/>
                <w:b/>
              </w:rPr>
              <w:t>à</w:t>
            </w:r>
            <w:proofErr w:type="gramEnd"/>
            <w:r w:rsidR="00CF1B46">
              <w:rPr>
                <w:rFonts w:ascii="Arial" w:hAnsi="Arial" w:cs="Arial"/>
                <w:b/>
              </w:rPr>
              <w:t xml:space="preserve"> +0,9 %, </w:t>
            </w:r>
            <w:r w:rsidR="00FD659F">
              <w:rPr>
                <w:rFonts w:ascii="Arial" w:hAnsi="Arial" w:cs="Arial"/>
                <w:b/>
              </w:rPr>
              <w:t xml:space="preserve">bénéficiant notamment du haut niveau des transactions de logements anciens observé depuis trois ans et d’une reprise des crédits pour travaux seuls. </w:t>
            </w:r>
            <w:r w:rsidR="00AF6F7A" w:rsidRPr="008F64BF">
              <w:rPr>
                <w:rFonts w:ascii="Arial" w:hAnsi="Arial" w:cs="Arial"/>
                <w:b/>
                <w:i/>
              </w:rPr>
              <w:t>A</w:t>
            </w:r>
            <w:r w:rsidR="00FD659F" w:rsidRPr="008F64BF">
              <w:rPr>
                <w:rFonts w:ascii="Arial" w:hAnsi="Arial" w:cs="Arial"/>
                <w:b/>
                <w:i/>
              </w:rPr>
              <w:t xml:space="preserve"> contrario</w:t>
            </w:r>
            <w:r w:rsidR="00FD659F">
              <w:rPr>
                <w:rFonts w:ascii="Arial" w:hAnsi="Arial" w:cs="Arial"/>
                <w:b/>
              </w:rPr>
              <w:t>, la rénovation énergétique du logement souffrira de la réforme du CITE en deuxième partie d’année</w:t>
            </w:r>
            <w:r w:rsidR="00322E80">
              <w:rPr>
                <w:rFonts w:ascii="Arial" w:hAnsi="Arial" w:cs="Arial"/>
                <w:b/>
              </w:rPr>
              <w:t xml:space="preserve">, une fois </w:t>
            </w:r>
            <w:r w:rsidR="00AF6F7A">
              <w:rPr>
                <w:rFonts w:ascii="Arial" w:hAnsi="Arial" w:cs="Arial"/>
                <w:b/>
              </w:rPr>
              <w:t>réalisés le</w:t>
            </w:r>
            <w:r w:rsidR="00EE08B3">
              <w:rPr>
                <w:rFonts w:ascii="Arial" w:hAnsi="Arial" w:cs="Arial"/>
                <w:b/>
              </w:rPr>
              <w:t xml:space="preserve">s </w:t>
            </w:r>
            <w:r w:rsidR="00322E80">
              <w:rPr>
                <w:rFonts w:ascii="Arial" w:hAnsi="Arial" w:cs="Arial"/>
                <w:b/>
              </w:rPr>
              <w:t xml:space="preserve">travaux </w:t>
            </w:r>
            <w:r w:rsidR="00AF6F7A">
              <w:rPr>
                <w:rFonts w:ascii="Arial" w:hAnsi="Arial" w:cs="Arial"/>
                <w:b/>
              </w:rPr>
              <w:t>bénéficiant de</w:t>
            </w:r>
            <w:r w:rsidR="00322E80">
              <w:rPr>
                <w:rFonts w:ascii="Arial" w:hAnsi="Arial" w:cs="Arial"/>
                <w:b/>
              </w:rPr>
              <w:t xml:space="preserve"> l’ancien régime</w:t>
            </w:r>
            <w:r w:rsidR="00FD659F">
              <w:rPr>
                <w:rFonts w:ascii="Arial" w:hAnsi="Arial" w:cs="Arial"/>
                <w:b/>
              </w:rPr>
              <w:t xml:space="preserve">. </w:t>
            </w:r>
            <w:r w:rsidR="00AF6F7A">
              <w:rPr>
                <w:rFonts w:ascii="Arial" w:hAnsi="Arial" w:cs="Arial"/>
                <w:b/>
              </w:rPr>
              <w:t>Compte-tenu de ce scénario d’activité</w:t>
            </w:r>
            <w:r w:rsidR="008D0E9B">
              <w:rPr>
                <w:rFonts w:ascii="Arial" w:hAnsi="Arial" w:cs="Arial"/>
                <w:b/>
              </w:rPr>
              <w:t>, l</w:t>
            </w:r>
            <w:r w:rsidR="00010AED">
              <w:rPr>
                <w:rFonts w:ascii="Arial" w:hAnsi="Arial" w:cs="Arial"/>
                <w:b/>
              </w:rPr>
              <w:t>e bâtiment créer</w:t>
            </w:r>
            <w:r w:rsidR="00AF6F7A">
              <w:rPr>
                <w:rFonts w:ascii="Arial" w:hAnsi="Arial" w:cs="Arial"/>
                <w:b/>
              </w:rPr>
              <w:t>a</w:t>
            </w:r>
            <w:r w:rsidR="00010AED">
              <w:rPr>
                <w:rFonts w:ascii="Arial" w:hAnsi="Arial" w:cs="Arial"/>
                <w:b/>
              </w:rPr>
              <w:t xml:space="preserve"> </w:t>
            </w:r>
            <w:r w:rsidR="004D1C13">
              <w:rPr>
                <w:rFonts w:ascii="Arial" w:hAnsi="Arial" w:cs="Arial"/>
                <w:b/>
              </w:rPr>
              <w:t xml:space="preserve">encore </w:t>
            </w:r>
            <w:r w:rsidR="00010AED">
              <w:rPr>
                <w:rFonts w:ascii="Arial" w:hAnsi="Arial" w:cs="Arial"/>
                <w:b/>
              </w:rPr>
              <w:t>d</w:t>
            </w:r>
            <w:r w:rsidR="00AF6F7A">
              <w:rPr>
                <w:rFonts w:ascii="Arial" w:hAnsi="Arial" w:cs="Arial"/>
                <w:b/>
              </w:rPr>
              <w:t>e l</w:t>
            </w:r>
            <w:r w:rsidR="00010AED">
              <w:rPr>
                <w:rFonts w:ascii="Arial" w:hAnsi="Arial" w:cs="Arial"/>
                <w:b/>
              </w:rPr>
              <w:t>’emploi</w:t>
            </w:r>
            <w:r w:rsidR="00AF6F7A">
              <w:rPr>
                <w:rFonts w:ascii="Arial" w:hAnsi="Arial" w:cs="Arial"/>
                <w:b/>
              </w:rPr>
              <w:t xml:space="preserve"> en 2020</w:t>
            </w:r>
            <w:r w:rsidR="00010AED">
              <w:rPr>
                <w:rFonts w:ascii="Arial" w:hAnsi="Arial" w:cs="Arial"/>
                <w:b/>
              </w:rPr>
              <w:t xml:space="preserve">, aux environs de 10 000 postes y compris intérim en équivalent-emplois à temps plein. </w:t>
            </w:r>
          </w:p>
        </w:tc>
      </w:tr>
    </w:tbl>
    <w:p w14:paraId="67DAD794" w14:textId="22C26FC8" w:rsidR="00D075AB" w:rsidRPr="00AE6454" w:rsidRDefault="00D075AB" w:rsidP="00D075AB">
      <w:pPr>
        <w:rPr>
          <w:rFonts w:ascii="Arial" w:hAnsi="Arial" w:cs="Arial"/>
          <w:b/>
          <w:sz w:val="28"/>
          <w:szCs w:val="28"/>
          <w:u w:val="single"/>
        </w:rPr>
      </w:pPr>
      <w:r>
        <w:rPr>
          <w:rFonts w:ascii="Arial" w:hAnsi="Arial" w:cs="Arial"/>
          <w:b/>
          <w:sz w:val="28"/>
          <w:szCs w:val="28"/>
          <w:u w:val="single"/>
        </w:rPr>
        <w:lastRenderedPageBreak/>
        <w:t>1. Bilan 2019</w:t>
      </w:r>
    </w:p>
    <w:p w14:paraId="518D2680" w14:textId="77777777" w:rsidR="00D075AB" w:rsidRDefault="00D075AB" w:rsidP="00D075AB">
      <w:pPr>
        <w:spacing w:after="0" w:line="360" w:lineRule="auto"/>
        <w:jc w:val="both"/>
        <w:rPr>
          <w:rFonts w:ascii="Arial" w:hAnsi="Arial" w:cs="Arial"/>
        </w:rPr>
      </w:pPr>
    </w:p>
    <w:p w14:paraId="2F0ADF42" w14:textId="77777777" w:rsidR="00D075AB" w:rsidRPr="00DC4924" w:rsidRDefault="00D075AB" w:rsidP="00D075AB">
      <w:pPr>
        <w:spacing w:after="0" w:line="360" w:lineRule="auto"/>
        <w:jc w:val="both"/>
        <w:rPr>
          <w:rFonts w:ascii="Arial" w:hAnsi="Arial" w:cs="Arial"/>
          <w:u w:val="single"/>
        </w:rPr>
      </w:pPr>
      <w:r>
        <w:rPr>
          <w:rFonts w:ascii="Arial" w:hAnsi="Arial" w:cs="Arial"/>
          <w:u w:val="single"/>
        </w:rPr>
        <w:t xml:space="preserve">1.1 Le contexte </w:t>
      </w:r>
    </w:p>
    <w:p w14:paraId="4F23A9E3" w14:textId="77777777" w:rsidR="00D075AB" w:rsidRDefault="00D075AB" w:rsidP="00D075AB">
      <w:pPr>
        <w:spacing w:after="0" w:line="360" w:lineRule="auto"/>
        <w:jc w:val="both"/>
        <w:rPr>
          <w:rFonts w:ascii="Arial" w:hAnsi="Arial" w:cs="Arial"/>
        </w:rPr>
      </w:pPr>
    </w:p>
    <w:p w14:paraId="26394B2C" w14:textId="6F396210" w:rsidR="00D075AB" w:rsidRDefault="00D075AB" w:rsidP="00D075AB">
      <w:pPr>
        <w:spacing w:after="0" w:line="360" w:lineRule="auto"/>
        <w:jc w:val="both"/>
        <w:rPr>
          <w:rFonts w:ascii="Arial" w:hAnsi="Arial" w:cs="Arial"/>
        </w:rPr>
      </w:pPr>
      <w:r>
        <w:rPr>
          <w:rFonts w:ascii="Arial" w:hAnsi="Arial" w:cs="Arial"/>
        </w:rPr>
        <w:t>L’économie française décélère de nouveau en 2019, avec une croissance du PIB de 1,4 % en volume, contre +1,7 % en 2018 (cf. graphique 1)</w:t>
      </w:r>
      <w:r w:rsidR="006A67BB">
        <w:rPr>
          <w:rFonts w:ascii="Arial" w:hAnsi="Arial" w:cs="Arial"/>
        </w:rPr>
        <w:t>. Cette évolution tient compte</w:t>
      </w:r>
      <w:r>
        <w:rPr>
          <w:rFonts w:ascii="Arial" w:hAnsi="Arial" w:cs="Arial"/>
        </w:rPr>
        <w:t xml:space="preserve"> du ralentissement généralisé du commerce mondial</w:t>
      </w:r>
      <w:r w:rsidR="00EC33E5">
        <w:rPr>
          <w:rFonts w:ascii="Arial" w:hAnsi="Arial" w:cs="Arial"/>
        </w:rPr>
        <w:t>, mais aussi d’une</w:t>
      </w:r>
      <w:r>
        <w:rPr>
          <w:rFonts w:ascii="Arial" w:hAnsi="Arial" w:cs="Arial"/>
        </w:rPr>
        <w:t xml:space="preserve"> demande intérieure résiliente. De fait, les dépenses de consommation des ménages accélèrent nettement à 1,3 % en 2019, sous l’effet notamment d’une réduction du taux de chômage de 0,5 point et d’une inflation </w:t>
      </w:r>
      <w:r w:rsidR="00263065">
        <w:rPr>
          <w:rFonts w:ascii="Arial" w:hAnsi="Arial" w:cs="Arial"/>
        </w:rPr>
        <w:t xml:space="preserve">presque </w:t>
      </w:r>
      <w:r>
        <w:rPr>
          <w:rFonts w:ascii="Arial" w:hAnsi="Arial" w:cs="Arial"/>
        </w:rPr>
        <w:t xml:space="preserve">deux fois moindre qu’en 2018. D’ailleurs, les ménages ont véritablement repris confiance en 2019, après la crise des « gilets jaunes », comme le montre l’indicateur synthétique de l’Insee qui n’a cessé de s’améliorer tout au long de l’année. Concernant l’investissement des entreprises et des administrations publiques, il reste très dynamique </w:t>
      </w:r>
      <w:proofErr w:type="gramStart"/>
      <w:r>
        <w:rPr>
          <w:rFonts w:ascii="Arial" w:hAnsi="Arial" w:cs="Arial"/>
        </w:rPr>
        <w:t>à</w:t>
      </w:r>
      <w:proofErr w:type="gramEnd"/>
      <w:r>
        <w:rPr>
          <w:rFonts w:ascii="Arial" w:hAnsi="Arial" w:cs="Arial"/>
        </w:rPr>
        <w:t xml:space="preserve"> +3,5 % pour chacun. </w:t>
      </w:r>
    </w:p>
    <w:p w14:paraId="7F05AB6D" w14:textId="77777777" w:rsidR="00D075AB" w:rsidRDefault="00D075AB" w:rsidP="00D075AB">
      <w:pPr>
        <w:spacing w:after="0" w:line="360" w:lineRule="auto"/>
        <w:jc w:val="both"/>
        <w:rPr>
          <w:rFonts w:ascii="Arial" w:hAnsi="Arial" w:cs="Arial"/>
        </w:rPr>
      </w:pPr>
    </w:p>
    <w:p w14:paraId="178E69A3" w14:textId="77777777" w:rsidR="00D075AB" w:rsidRDefault="00D075AB" w:rsidP="00D075AB">
      <w:pPr>
        <w:spacing w:after="0" w:line="360" w:lineRule="auto"/>
        <w:jc w:val="center"/>
        <w:rPr>
          <w:rFonts w:ascii="Arial" w:hAnsi="Arial" w:cs="Arial"/>
        </w:rPr>
      </w:pPr>
      <w:r>
        <w:rPr>
          <w:rFonts w:ascii="Arial" w:hAnsi="Arial" w:cs="Arial"/>
        </w:rPr>
        <w:t xml:space="preserve">Graphique 1 – </w:t>
      </w:r>
      <w:r w:rsidRPr="00522BD1">
        <w:rPr>
          <w:rFonts w:ascii="Arial" w:hAnsi="Arial" w:cs="Arial"/>
          <w:b/>
        </w:rPr>
        <w:t>Le PIB et ses composantes</w:t>
      </w:r>
    </w:p>
    <w:p w14:paraId="4D776190" w14:textId="77777777" w:rsidR="00D075AB" w:rsidRDefault="00D075AB" w:rsidP="00D075AB">
      <w:pPr>
        <w:spacing w:after="0" w:line="360" w:lineRule="auto"/>
        <w:jc w:val="center"/>
        <w:rPr>
          <w:rFonts w:ascii="Arial" w:hAnsi="Arial" w:cs="Arial"/>
        </w:rPr>
      </w:pPr>
      <w:r w:rsidRPr="005E697B">
        <w:rPr>
          <w:rFonts w:ascii="Arial" w:hAnsi="Arial" w:cs="Arial"/>
          <w:noProof/>
          <w:lang w:eastAsia="fr-FR"/>
        </w:rPr>
        <w:drawing>
          <wp:inline distT="0" distB="0" distL="0" distR="0" wp14:anchorId="692E4F67" wp14:editId="30A91D9A">
            <wp:extent cx="5760720" cy="305138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p>
    <w:p w14:paraId="77E6B8DC" w14:textId="77777777" w:rsidR="00D075AB" w:rsidRPr="00522BD1" w:rsidRDefault="00D075AB" w:rsidP="00D075AB">
      <w:pPr>
        <w:spacing w:after="0" w:line="360" w:lineRule="auto"/>
        <w:jc w:val="center"/>
        <w:rPr>
          <w:rFonts w:ascii="Arial" w:hAnsi="Arial" w:cs="Arial"/>
          <w:i/>
          <w:sz w:val="20"/>
        </w:rPr>
      </w:pPr>
      <w:r w:rsidRPr="00522BD1">
        <w:rPr>
          <w:rFonts w:ascii="Arial" w:hAnsi="Arial" w:cs="Arial"/>
          <w:i/>
          <w:sz w:val="20"/>
        </w:rPr>
        <w:t>Source : FFB à partir de l’Insee, Comptes de la Nation</w:t>
      </w:r>
    </w:p>
    <w:p w14:paraId="694ED12C" w14:textId="77777777" w:rsidR="00D075AB" w:rsidRDefault="00D075AB" w:rsidP="00D075AB">
      <w:pPr>
        <w:spacing w:after="0" w:line="360" w:lineRule="auto"/>
        <w:jc w:val="both"/>
        <w:rPr>
          <w:rFonts w:ascii="Arial" w:hAnsi="Arial" w:cs="Arial"/>
        </w:rPr>
      </w:pPr>
    </w:p>
    <w:p w14:paraId="0FBB6B91" w14:textId="0773F022" w:rsidR="00D075AB" w:rsidRDefault="00D075AB" w:rsidP="00D075AB">
      <w:pPr>
        <w:spacing w:after="0" w:line="360" w:lineRule="auto"/>
        <w:jc w:val="both"/>
        <w:rPr>
          <w:rFonts w:ascii="Arial" w:hAnsi="Arial" w:cs="Arial"/>
        </w:rPr>
      </w:pPr>
      <w:r>
        <w:rPr>
          <w:rFonts w:ascii="Arial" w:hAnsi="Arial" w:cs="Arial"/>
        </w:rPr>
        <w:t xml:space="preserve">S’agissant de l’environnement macro-financier, il s’améliore en 2019 avec une nouvelle détente </w:t>
      </w:r>
      <w:r w:rsidR="00263065">
        <w:rPr>
          <w:rFonts w:ascii="Arial" w:hAnsi="Arial" w:cs="Arial"/>
        </w:rPr>
        <w:t>sur les</w:t>
      </w:r>
      <w:r>
        <w:rPr>
          <w:rFonts w:ascii="Arial" w:hAnsi="Arial" w:cs="Arial"/>
        </w:rPr>
        <w:t xml:space="preserve"> taux d’intérêt, à l’instar du taux de l’emprunt phare à dix ans en recul </w:t>
      </w:r>
      <w:r w:rsidR="00263065">
        <w:rPr>
          <w:rFonts w:ascii="Arial" w:hAnsi="Arial" w:cs="Arial"/>
        </w:rPr>
        <w:t>de 0,7 point</w:t>
      </w:r>
      <w:r w:rsidR="00EC33E5">
        <w:rPr>
          <w:rFonts w:ascii="Arial" w:hAnsi="Arial" w:cs="Arial"/>
        </w:rPr>
        <w:t>,</w:t>
      </w:r>
      <w:r w:rsidR="00263065">
        <w:rPr>
          <w:rFonts w:ascii="Arial" w:hAnsi="Arial" w:cs="Arial"/>
        </w:rPr>
        <w:t xml:space="preserve"> </w:t>
      </w:r>
      <w:r>
        <w:rPr>
          <w:rFonts w:ascii="Arial" w:hAnsi="Arial" w:cs="Arial"/>
        </w:rPr>
        <w:t xml:space="preserve">qui s’est même inscrit en territoire négatif durant la deuxième partie de l’année (cf. graphique 2). </w:t>
      </w:r>
      <w:r w:rsidR="00EC33E5">
        <w:rPr>
          <w:rFonts w:ascii="Arial" w:hAnsi="Arial" w:cs="Arial"/>
        </w:rPr>
        <w:t>Plus encore que ce mouvement, l’année a été marquée par une baisse du taux d’apport personnel ou d’</w:t>
      </w:r>
      <w:proofErr w:type="spellStart"/>
      <w:r w:rsidR="00EC33E5">
        <w:rPr>
          <w:rFonts w:ascii="Arial" w:hAnsi="Arial" w:cs="Arial"/>
        </w:rPr>
        <w:t>auto-financement</w:t>
      </w:r>
      <w:proofErr w:type="spellEnd"/>
      <w:r w:rsidR="00EC33E5">
        <w:rPr>
          <w:rFonts w:ascii="Arial" w:hAnsi="Arial" w:cs="Arial"/>
        </w:rPr>
        <w:t xml:space="preserve"> exigé par les banques.</w:t>
      </w:r>
    </w:p>
    <w:p w14:paraId="43813031"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Graphique 2 – </w:t>
      </w:r>
      <w:r w:rsidRPr="007847E1">
        <w:rPr>
          <w:rFonts w:ascii="Arial" w:hAnsi="Arial" w:cs="Arial"/>
          <w:b/>
        </w:rPr>
        <w:t>Taux d’intérêt</w:t>
      </w:r>
    </w:p>
    <w:p w14:paraId="4E22A2B0" w14:textId="77777777" w:rsidR="00D075AB" w:rsidRDefault="00D075AB" w:rsidP="00D075AB">
      <w:pPr>
        <w:spacing w:after="0" w:line="360" w:lineRule="auto"/>
        <w:jc w:val="both"/>
        <w:rPr>
          <w:rFonts w:ascii="Arial" w:hAnsi="Arial" w:cs="Arial"/>
        </w:rPr>
      </w:pPr>
      <w:r w:rsidRPr="00540638">
        <w:rPr>
          <w:rFonts w:ascii="Arial" w:hAnsi="Arial" w:cs="Arial"/>
          <w:noProof/>
          <w:lang w:eastAsia="fr-FR"/>
        </w:rPr>
        <w:drawing>
          <wp:inline distT="0" distB="0" distL="0" distR="0" wp14:anchorId="62E16819" wp14:editId="7C636809">
            <wp:extent cx="5760720" cy="307838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78385"/>
                    </a:xfrm>
                    <a:prstGeom prst="rect">
                      <a:avLst/>
                    </a:prstGeom>
                    <a:noFill/>
                    <a:ln>
                      <a:noFill/>
                    </a:ln>
                  </pic:spPr>
                </pic:pic>
              </a:graphicData>
            </a:graphic>
          </wp:inline>
        </w:drawing>
      </w:r>
    </w:p>
    <w:p w14:paraId="21C82071" w14:textId="77777777" w:rsidR="00D075AB" w:rsidRPr="007847E1" w:rsidRDefault="00D075AB" w:rsidP="00D075AB">
      <w:pPr>
        <w:spacing w:after="0" w:line="360" w:lineRule="auto"/>
        <w:jc w:val="center"/>
        <w:rPr>
          <w:rFonts w:ascii="Arial" w:hAnsi="Arial" w:cs="Arial"/>
          <w:i/>
          <w:sz w:val="20"/>
        </w:rPr>
      </w:pPr>
      <w:r w:rsidRPr="007847E1">
        <w:rPr>
          <w:rFonts w:ascii="Arial" w:hAnsi="Arial" w:cs="Arial"/>
          <w:i/>
          <w:sz w:val="20"/>
        </w:rPr>
        <w:t>Source : Banque centrale européenne, Banque de France</w:t>
      </w:r>
    </w:p>
    <w:p w14:paraId="1591551D" w14:textId="77777777" w:rsidR="00D075AB" w:rsidRDefault="00D075AB" w:rsidP="00D075AB">
      <w:pPr>
        <w:spacing w:after="0" w:line="360" w:lineRule="auto"/>
        <w:jc w:val="both"/>
        <w:rPr>
          <w:rFonts w:ascii="Arial" w:hAnsi="Arial" w:cs="Arial"/>
        </w:rPr>
      </w:pPr>
    </w:p>
    <w:p w14:paraId="037AE6A5" w14:textId="77777777" w:rsidR="00D075AB" w:rsidRPr="00004A02" w:rsidRDefault="00D075AB" w:rsidP="00D075AB">
      <w:pPr>
        <w:spacing w:after="0" w:line="360" w:lineRule="auto"/>
        <w:jc w:val="both"/>
        <w:rPr>
          <w:rFonts w:ascii="Arial" w:hAnsi="Arial" w:cs="Arial"/>
          <w:u w:val="single"/>
        </w:rPr>
      </w:pPr>
      <w:r w:rsidRPr="00004A02">
        <w:rPr>
          <w:rFonts w:ascii="Arial" w:hAnsi="Arial" w:cs="Arial"/>
          <w:u w:val="single"/>
        </w:rPr>
        <w:t>1.2 Les marchés du bâtiment</w:t>
      </w:r>
    </w:p>
    <w:p w14:paraId="1CEF08C2" w14:textId="77777777" w:rsidR="00D075AB" w:rsidRDefault="00D075AB" w:rsidP="00D075AB">
      <w:pPr>
        <w:spacing w:after="0" w:line="360" w:lineRule="auto"/>
        <w:jc w:val="both"/>
        <w:rPr>
          <w:rFonts w:ascii="Arial" w:hAnsi="Arial" w:cs="Arial"/>
        </w:rPr>
      </w:pPr>
    </w:p>
    <w:p w14:paraId="192FB287" w14:textId="77777777" w:rsidR="00D075AB" w:rsidRPr="00D06105" w:rsidRDefault="00D075AB" w:rsidP="00D075AB">
      <w:pPr>
        <w:spacing w:after="0" w:line="360" w:lineRule="auto"/>
        <w:jc w:val="both"/>
        <w:rPr>
          <w:rFonts w:ascii="Arial" w:hAnsi="Arial" w:cs="Arial"/>
          <w:i/>
        </w:rPr>
      </w:pPr>
      <w:r w:rsidRPr="00D06105">
        <w:rPr>
          <w:rFonts w:ascii="Arial" w:hAnsi="Arial" w:cs="Arial"/>
          <w:i/>
        </w:rPr>
        <w:t>1.2.1 Le logement neuf</w:t>
      </w:r>
    </w:p>
    <w:p w14:paraId="55E0936C" w14:textId="77777777" w:rsidR="00D075AB" w:rsidRDefault="00D075AB" w:rsidP="00D075AB">
      <w:pPr>
        <w:spacing w:after="0" w:line="360" w:lineRule="auto"/>
        <w:jc w:val="both"/>
        <w:rPr>
          <w:rFonts w:ascii="Arial" w:hAnsi="Arial" w:cs="Arial"/>
        </w:rPr>
      </w:pPr>
    </w:p>
    <w:p w14:paraId="6D384560" w14:textId="05D0069F" w:rsidR="00D711AA" w:rsidRDefault="00D075AB" w:rsidP="00D075AB">
      <w:pPr>
        <w:spacing w:after="0" w:line="360" w:lineRule="auto"/>
        <w:jc w:val="both"/>
        <w:rPr>
          <w:rFonts w:ascii="Arial" w:hAnsi="Arial" w:cs="Arial"/>
        </w:rPr>
      </w:pPr>
      <w:r>
        <w:rPr>
          <w:rFonts w:ascii="Arial" w:hAnsi="Arial" w:cs="Arial"/>
        </w:rPr>
        <w:t xml:space="preserve">Les autorisations de logements fléchissent de 5,2 % en 2019, </w:t>
      </w:r>
      <w:r w:rsidR="00D711AA">
        <w:rPr>
          <w:rFonts w:ascii="Arial" w:hAnsi="Arial" w:cs="Arial"/>
        </w:rPr>
        <w:t xml:space="preserve">mais </w:t>
      </w:r>
      <w:r>
        <w:rPr>
          <w:rFonts w:ascii="Arial" w:hAnsi="Arial" w:cs="Arial"/>
        </w:rPr>
        <w:t>avec de</w:t>
      </w:r>
      <w:r w:rsidR="00D711AA">
        <w:rPr>
          <w:rFonts w:ascii="Arial" w:hAnsi="Arial" w:cs="Arial"/>
        </w:rPr>
        <w:t>s mouvements de sens opposés</w:t>
      </w:r>
      <w:r>
        <w:rPr>
          <w:rFonts w:ascii="Arial" w:hAnsi="Arial" w:cs="Arial"/>
        </w:rPr>
        <w:t xml:space="preserve"> entre segments.</w:t>
      </w:r>
    </w:p>
    <w:p w14:paraId="238480C9" w14:textId="3B42CFBD" w:rsidR="00D075AB" w:rsidRDefault="00D711AA" w:rsidP="00D075AB">
      <w:pPr>
        <w:spacing w:after="0" w:line="360" w:lineRule="auto"/>
        <w:jc w:val="both"/>
        <w:rPr>
          <w:rFonts w:ascii="Arial" w:hAnsi="Arial" w:cs="Arial"/>
        </w:rPr>
      </w:pPr>
      <w:r>
        <w:rPr>
          <w:rFonts w:ascii="Arial" w:hAnsi="Arial" w:cs="Arial"/>
        </w:rPr>
        <w:t>L</w:t>
      </w:r>
      <w:r w:rsidR="00D075AB">
        <w:rPr>
          <w:rFonts w:ascii="Arial" w:hAnsi="Arial" w:cs="Arial"/>
        </w:rPr>
        <w:t xml:space="preserve">’individuel progresse légèrement de 1,9 %, </w:t>
      </w:r>
      <w:r>
        <w:rPr>
          <w:rFonts w:ascii="Arial" w:hAnsi="Arial" w:cs="Arial"/>
        </w:rPr>
        <w:t>en ligne avec le</w:t>
      </w:r>
      <w:r w:rsidR="00D075AB">
        <w:rPr>
          <w:rFonts w:ascii="Arial" w:hAnsi="Arial" w:cs="Arial"/>
        </w:rPr>
        <w:t xml:space="preserve"> redressement des ventes dans le diffus qui se lit à environ 5 %. Ce dernier fait suite à l’amélioration des conditions de financement</w:t>
      </w:r>
      <w:r>
        <w:rPr>
          <w:rFonts w:ascii="Arial" w:hAnsi="Arial" w:cs="Arial"/>
        </w:rPr>
        <w:t xml:space="preserve"> déjà évoqué,</w:t>
      </w:r>
      <w:r w:rsidR="00C84591">
        <w:rPr>
          <w:rFonts w:ascii="Arial" w:hAnsi="Arial" w:cs="Arial"/>
        </w:rPr>
        <w:t xml:space="preserve"> </w:t>
      </w:r>
      <w:r w:rsidR="00D075AB">
        <w:rPr>
          <w:rFonts w:ascii="Arial" w:hAnsi="Arial" w:cs="Arial"/>
        </w:rPr>
        <w:t xml:space="preserve">qui </w:t>
      </w:r>
      <w:r>
        <w:rPr>
          <w:rFonts w:ascii="Arial" w:hAnsi="Arial" w:cs="Arial"/>
        </w:rPr>
        <w:t>a</w:t>
      </w:r>
      <w:r w:rsidR="00D075AB">
        <w:rPr>
          <w:rFonts w:ascii="Arial" w:hAnsi="Arial" w:cs="Arial"/>
        </w:rPr>
        <w:t xml:space="preserve"> permis de compenser, pour partie, la dégradation du soutien public de</w:t>
      </w:r>
      <w:r>
        <w:rPr>
          <w:rFonts w:ascii="Arial" w:hAnsi="Arial" w:cs="Arial"/>
        </w:rPr>
        <w:t>puis</w:t>
      </w:r>
      <w:r w:rsidR="00D075AB">
        <w:rPr>
          <w:rFonts w:ascii="Arial" w:hAnsi="Arial" w:cs="Arial"/>
        </w:rPr>
        <w:t xml:space="preserve"> 2018 (passage d’une quotité de PTZ </w:t>
      </w:r>
      <w:r w:rsidR="00C84591">
        <w:rPr>
          <w:rFonts w:ascii="Arial" w:hAnsi="Arial" w:cs="Arial"/>
        </w:rPr>
        <w:t xml:space="preserve">neuf </w:t>
      </w:r>
      <w:r w:rsidR="00D075AB">
        <w:rPr>
          <w:rFonts w:ascii="Arial" w:hAnsi="Arial" w:cs="Arial"/>
        </w:rPr>
        <w:t>de 40 à 20 %, suppression de l’APL accession).</w:t>
      </w:r>
    </w:p>
    <w:p w14:paraId="2D4D5DBC" w14:textId="45345806" w:rsidR="00D075AB" w:rsidRDefault="00D711AA" w:rsidP="00D075AB">
      <w:pPr>
        <w:spacing w:after="0" w:line="360" w:lineRule="auto"/>
        <w:jc w:val="both"/>
        <w:rPr>
          <w:rFonts w:ascii="Arial" w:hAnsi="Arial" w:cs="Arial"/>
        </w:rPr>
      </w:pPr>
      <w:r>
        <w:rPr>
          <w:rFonts w:ascii="Arial" w:hAnsi="Arial" w:cs="Arial"/>
        </w:rPr>
        <w:t>Quant au</w:t>
      </w:r>
      <w:r w:rsidR="00D075AB">
        <w:rPr>
          <w:rFonts w:ascii="Arial" w:hAnsi="Arial" w:cs="Arial"/>
        </w:rPr>
        <w:t xml:space="preserve"> collectif, il recule de 10,4 %, </w:t>
      </w:r>
      <w:r>
        <w:rPr>
          <w:rFonts w:ascii="Arial" w:hAnsi="Arial" w:cs="Arial"/>
        </w:rPr>
        <w:t>malgré la quasi-stabilité</w:t>
      </w:r>
      <w:r w:rsidR="00D075AB">
        <w:rPr>
          <w:rFonts w:ascii="Arial" w:hAnsi="Arial" w:cs="Arial"/>
        </w:rPr>
        <w:t xml:space="preserve"> </w:t>
      </w:r>
      <w:r>
        <w:rPr>
          <w:rFonts w:ascii="Arial" w:hAnsi="Arial" w:cs="Arial"/>
        </w:rPr>
        <w:t>d</w:t>
      </w:r>
      <w:r w:rsidR="00D075AB">
        <w:rPr>
          <w:rFonts w:ascii="Arial" w:hAnsi="Arial" w:cs="Arial"/>
        </w:rPr>
        <w:t xml:space="preserve">es ventes des promoteurs </w:t>
      </w:r>
      <w:r>
        <w:rPr>
          <w:rFonts w:ascii="Arial" w:hAnsi="Arial" w:cs="Arial"/>
        </w:rPr>
        <w:t xml:space="preserve">sur </w:t>
      </w:r>
      <w:r w:rsidR="00D075AB">
        <w:rPr>
          <w:rFonts w:ascii="Arial" w:hAnsi="Arial" w:cs="Arial"/>
        </w:rPr>
        <w:t xml:space="preserve"> 2018</w:t>
      </w:r>
      <w:r>
        <w:rPr>
          <w:rFonts w:ascii="Arial" w:hAnsi="Arial" w:cs="Arial"/>
        </w:rPr>
        <w:t xml:space="preserve"> et 2019</w:t>
      </w:r>
      <w:r w:rsidR="00D075AB">
        <w:rPr>
          <w:rFonts w:ascii="Arial" w:hAnsi="Arial" w:cs="Arial"/>
        </w:rPr>
        <w:t xml:space="preserve">. Le décrochage du segment s’explique en fait par de moindres investissements du secteur locatif social depuis 2017, suite notamment à la mise en place de la Réduction de loyer de solidarité (RLS) et aux incertitudes </w:t>
      </w:r>
      <w:r>
        <w:rPr>
          <w:rFonts w:ascii="Arial" w:hAnsi="Arial" w:cs="Arial"/>
        </w:rPr>
        <w:t xml:space="preserve">qui ont longtemps prévalu </w:t>
      </w:r>
      <w:r w:rsidR="00D075AB">
        <w:rPr>
          <w:rFonts w:ascii="Arial" w:hAnsi="Arial" w:cs="Arial"/>
        </w:rPr>
        <w:t xml:space="preserve">quant aux regroupements des organismes prévus par la loi Elan. Les agréments de logements neufs ont ainsi reculé de 9,2 % en 2017 et de 3,3 % en 2018, ce qui a joué pleinement sur les autorisations de 2019. </w:t>
      </w:r>
    </w:p>
    <w:p w14:paraId="67B7D2CF" w14:textId="77777777" w:rsidR="00660BB7" w:rsidRDefault="00660BB7" w:rsidP="00D075AB">
      <w:pPr>
        <w:spacing w:after="0" w:line="360" w:lineRule="auto"/>
        <w:jc w:val="both"/>
        <w:rPr>
          <w:rFonts w:ascii="Arial" w:hAnsi="Arial" w:cs="Arial"/>
        </w:rPr>
      </w:pPr>
    </w:p>
    <w:p w14:paraId="22752131" w14:textId="5E61489E" w:rsidR="00D075AB" w:rsidRDefault="00D075AB" w:rsidP="00D075AB">
      <w:pPr>
        <w:spacing w:after="0" w:line="360" w:lineRule="auto"/>
        <w:jc w:val="both"/>
        <w:rPr>
          <w:rFonts w:ascii="Arial" w:hAnsi="Arial" w:cs="Arial"/>
        </w:rPr>
      </w:pPr>
      <w:r>
        <w:rPr>
          <w:rFonts w:ascii="Arial" w:hAnsi="Arial" w:cs="Arial"/>
        </w:rPr>
        <w:t xml:space="preserve">Pour ce qui concerne les mises en chantier, elles abandonnent 2,2 % en 2019, pour s’établir aux environs de 408 000 unités, contre plus de 417 000 en 2018 (cf. graphique 3). Le repli </w:t>
      </w:r>
      <w:r>
        <w:rPr>
          <w:rFonts w:ascii="Arial" w:hAnsi="Arial" w:cs="Arial"/>
        </w:rPr>
        <w:lastRenderedPageBreak/>
        <w:t xml:space="preserve">tient de la baisse enregistrée dans le collectif (-4,1 %), alors que l’individuel affiche une petite hausse (+0,3 %), en lien avec </w:t>
      </w:r>
      <w:r w:rsidR="00D711AA">
        <w:rPr>
          <w:rFonts w:ascii="Arial" w:hAnsi="Arial" w:cs="Arial"/>
        </w:rPr>
        <w:t>l’</w:t>
      </w:r>
      <w:r w:rsidR="00C84591">
        <w:rPr>
          <w:rFonts w:ascii="Arial" w:hAnsi="Arial" w:cs="Arial"/>
        </w:rPr>
        <w:t>amélioration</w:t>
      </w:r>
      <w:r>
        <w:rPr>
          <w:rFonts w:ascii="Arial" w:hAnsi="Arial" w:cs="Arial"/>
        </w:rPr>
        <w:t xml:space="preserve"> </w:t>
      </w:r>
      <w:r w:rsidR="00D711AA">
        <w:rPr>
          <w:rFonts w:ascii="Arial" w:hAnsi="Arial" w:cs="Arial"/>
        </w:rPr>
        <w:t xml:space="preserve">constatée </w:t>
      </w:r>
      <w:r>
        <w:rPr>
          <w:rFonts w:ascii="Arial" w:hAnsi="Arial" w:cs="Arial"/>
        </w:rPr>
        <w:t>des permis</w:t>
      </w:r>
      <w:r w:rsidR="00C84591">
        <w:rPr>
          <w:rFonts w:ascii="Arial" w:hAnsi="Arial" w:cs="Arial"/>
        </w:rPr>
        <w:t xml:space="preserve"> depuis le printemps</w:t>
      </w:r>
      <w:r>
        <w:rPr>
          <w:rFonts w:ascii="Arial" w:hAnsi="Arial" w:cs="Arial"/>
        </w:rPr>
        <w:t>.</w:t>
      </w:r>
    </w:p>
    <w:p w14:paraId="02870E80" w14:textId="77777777" w:rsidR="00D075AB" w:rsidRDefault="00D075AB" w:rsidP="00D075AB">
      <w:pPr>
        <w:spacing w:after="0" w:line="360" w:lineRule="auto"/>
        <w:jc w:val="both"/>
        <w:rPr>
          <w:rFonts w:ascii="Arial" w:hAnsi="Arial" w:cs="Arial"/>
        </w:rPr>
      </w:pPr>
    </w:p>
    <w:p w14:paraId="1243F2BC" w14:textId="77777777" w:rsidR="00D075AB" w:rsidRDefault="00D075AB" w:rsidP="00D075AB">
      <w:pPr>
        <w:spacing w:after="0" w:line="360" w:lineRule="auto"/>
        <w:jc w:val="center"/>
        <w:rPr>
          <w:rFonts w:ascii="Arial" w:hAnsi="Arial" w:cs="Arial"/>
        </w:rPr>
      </w:pPr>
      <w:r>
        <w:rPr>
          <w:rFonts w:ascii="Arial" w:hAnsi="Arial" w:cs="Arial"/>
        </w:rPr>
        <w:t xml:space="preserve">Graphique 3 – </w:t>
      </w:r>
      <w:r>
        <w:rPr>
          <w:rFonts w:ascii="Arial" w:hAnsi="Arial" w:cs="Arial"/>
          <w:b/>
        </w:rPr>
        <w:t xml:space="preserve">Autorisations </w:t>
      </w:r>
      <w:r w:rsidRPr="00D976ED">
        <w:rPr>
          <w:rFonts w:ascii="Arial" w:hAnsi="Arial" w:cs="Arial"/>
          <w:b/>
        </w:rPr>
        <w:t xml:space="preserve">et mises en chantier </w:t>
      </w:r>
      <w:r>
        <w:rPr>
          <w:rFonts w:ascii="Arial" w:hAnsi="Arial" w:cs="Arial"/>
          <w:b/>
        </w:rPr>
        <w:t xml:space="preserve">de </w:t>
      </w:r>
      <w:r w:rsidRPr="00D976ED">
        <w:rPr>
          <w:rFonts w:ascii="Arial" w:hAnsi="Arial" w:cs="Arial"/>
          <w:b/>
        </w:rPr>
        <w:t>logement</w:t>
      </w:r>
      <w:r>
        <w:rPr>
          <w:rFonts w:ascii="Arial" w:hAnsi="Arial" w:cs="Arial"/>
          <w:b/>
        </w:rPr>
        <w:t>s</w:t>
      </w:r>
      <w:r w:rsidRPr="00D976ED">
        <w:rPr>
          <w:rFonts w:ascii="Arial" w:hAnsi="Arial" w:cs="Arial"/>
          <w:b/>
        </w:rPr>
        <w:t xml:space="preserve"> </w:t>
      </w:r>
      <w:r>
        <w:rPr>
          <w:rFonts w:ascii="Arial" w:hAnsi="Arial" w:cs="Arial"/>
        </w:rPr>
        <w:t>(en date réelle estimée)</w:t>
      </w:r>
    </w:p>
    <w:p w14:paraId="53C3CC8C" w14:textId="77777777" w:rsidR="00D075AB" w:rsidRDefault="00D075AB" w:rsidP="00D075AB">
      <w:pPr>
        <w:spacing w:after="0" w:line="360" w:lineRule="auto"/>
        <w:jc w:val="center"/>
        <w:rPr>
          <w:rFonts w:ascii="Arial" w:hAnsi="Arial" w:cs="Arial"/>
        </w:rPr>
      </w:pPr>
      <w:r w:rsidRPr="00D91AAF">
        <w:rPr>
          <w:rFonts w:ascii="Arial" w:hAnsi="Arial" w:cs="Arial"/>
          <w:noProof/>
          <w:lang w:eastAsia="fr-FR"/>
        </w:rPr>
        <w:drawing>
          <wp:inline distT="0" distB="0" distL="0" distR="0" wp14:anchorId="0C9B2320" wp14:editId="369F2DDC">
            <wp:extent cx="5760720" cy="305138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p>
    <w:p w14:paraId="6F6479B6" w14:textId="77777777" w:rsidR="00964197" w:rsidRPr="0077177C" w:rsidRDefault="00964197" w:rsidP="00964197">
      <w:pPr>
        <w:jc w:val="center"/>
        <w:rPr>
          <w:rFonts w:ascii="Arial" w:hAnsi="Arial" w:cs="Arial"/>
          <w:i/>
          <w:sz w:val="20"/>
          <w:szCs w:val="20"/>
        </w:rPr>
      </w:pPr>
      <w:r w:rsidRPr="0077177C">
        <w:rPr>
          <w:rFonts w:ascii="Arial" w:hAnsi="Arial" w:cs="Arial"/>
          <w:i/>
          <w:sz w:val="20"/>
          <w:szCs w:val="20"/>
        </w:rPr>
        <w:t xml:space="preserve">Source : </w:t>
      </w:r>
      <w:r>
        <w:rPr>
          <w:rFonts w:ascii="Arial" w:hAnsi="Arial" w:cs="Arial"/>
          <w:i/>
          <w:sz w:val="20"/>
          <w:szCs w:val="20"/>
        </w:rPr>
        <w:t>Ministère de la transition écologique et solidaire (MTES) / Commissariat général au développement durable (CGDD) / Service de la donnée et des études statistiques (SDES)</w:t>
      </w:r>
      <w:r w:rsidRPr="0077177C">
        <w:rPr>
          <w:rFonts w:ascii="Arial" w:hAnsi="Arial" w:cs="Arial"/>
          <w:i/>
          <w:sz w:val="20"/>
          <w:szCs w:val="20"/>
        </w:rPr>
        <w:t>, Sit@del2</w:t>
      </w:r>
    </w:p>
    <w:p w14:paraId="02DEED97" w14:textId="77777777" w:rsidR="00D075AB" w:rsidRDefault="00D075AB" w:rsidP="00D075AB">
      <w:pPr>
        <w:spacing w:after="0" w:line="360" w:lineRule="auto"/>
        <w:jc w:val="both"/>
        <w:rPr>
          <w:rFonts w:ascii="Arial" w:hAnsi="Arial" w:cs="Arial"/>
        </w:rPr>
      </w:pPr>
    </w:p>
    <w:p w14:paraId="3D4D7067" w14:textId="51303B79" w:rsidR="00D075AB" w:rsidRDefault="00D075AB" w:rsidP="00D075AB">
      <w:pPr>
        <w:spacing w:after="0" w:line="360" w:lineRule="auto"/>
        <w:jc w:val="both"/>
        <w:rPr>
          <w:rFonts w:ascii="Arial" w:hAnsi="Arial" w:cs="Arial"/>
        </w:rPr>
      </w:pPr>
      <w:r>
        <w:rPr>
          <w:rFonts w:ascii="Arial" w:hAnsi="Arial" w:cs="Arial"/>
        </w:rPr>
        <w:t xml:space="preserve">Compte tenu des délais de production, l’activité du logement neuf s’affiche en petite hausse de 0,8 %, </w:t>
      </w:r>
      <w:r w:rsidR="006B22C4">
        <w:rPr>
          <w:rFonts w:ascii="Arial" w:hAnsi="Arial" w:cs="Arial"/>
        </w:rPr>
        <w:t>hors effet prix, en 2019, soit quasiment le</w:t>
      </w:r>
      <w:r>
        <w:rPr>
          <w:rFonts w:ascii="Arial" w:hAnsi="Arial" w:cs="Arial"/>
        </w:rPr>
        <w:t xml:space="preserve"> même rythme qu’en 2018 (+0,7 %).</w:t>
      </w:r>
    </w:p>
    <w:p w14:paraId="5EDE0240" w14:textId="77777777" w:rsidR="00D075AB" w:rsidRDefault="00D075AB" w:rsidP="00D075AB">
      <w:pPr>
        <w:spacing w:after="0" w:line="360" w:lineRule="auto"/>
        <w:jc w:val="both"/>
        <w:rPr>
          <w:rFonts w:ascii="Arial" w:hAnsi="Arial" w:cs="Arial"/>
        </w:rPr>
      </w:pPr>
    </w:p>
    <w:p w14:paraId="06093223" w14:textId="77777777" w:rsidR="00D075AB" w:rsidRDefault="00D075AB" w:rsidP="00D075AB">
      <w:pPr>
        <w:spacing w:after="0" w:line="360" w:lineRule="auto"/>
        <w:jc w:val="both"/>
        <w:rPr>
          <w:rFonts w:ascii="Arial" w:hAnsi="Arial" w:cs="Arial"/>
        </w:rPr>
      </w:pPr>
      <w:r w:rsidRPr="00400529">
        <w:rPr>
          <w:rFonts w:ascii="Arial" w:hAnsi="Arial" w:cs="Arial"/>
        </w:rPr>
        <w:t>À l’échelon régional, seules cinq ex-régions enregistrent des hausses des autorisations et des mises en chantier de logements, en glissement annuel sur douze mois à fin octobre 2019. Il s’agit de Centre-Val de Loire et de la Corse, ainsi que des ex Aquitaine, Bourgogne et Champagne-Ardenne</w:t>
      </w:r>
      <w:r>
        <w:rPr>
          <w:rFonts w:ascii="Arial" w:hAnsi="Arial" w:cs="Arial"/>
        </w:rPr>
        <w:t xml:space="preserve"> (cf. cartes 1a et 1b)</w:t>
      </w:r>
      <w:r w:rsidRPr="00400529">
        <w:rPr>
          <w:rFonts w:ascii="Arial" w:hAnsi="Arial" w:cs="Arial"/>
        </w:rPr>
        <w:t>.</w:t>
      </w:r>
    </w:p>
    <w:p w14:paraId="29D516DF" w14:textId="77777777" w:rsidR="00D075AB" w:rsidRDefault="00D075AB" w:rsidP="00D075AB">
      <w:pPr>
        <w:spacing w:after="0" w:line="360" w:lineRule="auto"/>
        <w:jc w:val="both"/>
        <w:rPr>
          <w:rFonts w:ascii="Arial" w:hAnsi="Arial" w:cs="Arial"/>
        </w:rPr>
      </w:pPr>
    </w:p>
    <w:p w14:paraId="6EDB3EA7" w14:textId="77777777" w:rsidR="00D075AB" w:rsidRDefault="00D075AB" w:rsidP="00D075AB">
      <w:pPr>
        <w:rPr>
          <w:rFonts w:ascii="Arial" w:hAnsi="Arial" w:cs="Arial"/>
        </w:rPr>
      </w:pPr>
      <w:r>
        <w:rPr>
          <w:rFonts w:ascii="Arial" w:hAnsi="Arial" w:cs="Arial"/>
        </w:rPr>
        <w:br w:type="page"/>
      </w:r>
    </w:p>
    <w:p w14:paraId="6BFF7E1B"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Cartes 1a et 1b – </w:t>
      </w:r>
      <w:r w:rsidRPr="007C7D54">
        <w:rPr>
          <w:rFonts w:ascii="Arial" w:hAnsi="Arial" w:cs="Arial"/>
          <w:b/>
        </w:rPr>
        <w:t>Évolutions régionales</w:t>
      </w:r>
      <w:r>
        <w:rPr>
          <w:rFonts w:ascii="Arial" w:hAnsi="Arial" w:cs="Arial"/>
        </w:rPr>
        <w:t xml:space="preserve"> (en %, en glissement annuel) </w:t>
      </w:r>
      <w:r w:rsidRPr="007C7D54">
        <w:rPr>
          <w:rFonts w:ascii="Arial" w:hAnsi="Arial" w:cs="Arial"/>
          <w:b/>
        </w:rPr>
        <w:t>sur douze mois à fin octobre 2019 des permis et des</w:t>
      </w:r>
      <w:r>
        <w:rPr>
          <w:rFonts w:ascii="Arial" w:hAnsi="Arial" w:cs="Arial"/>
          <w:b/>
        </w:rPr>
        <w:t xml:space="preserve"> mises en chantier de logements</w:t>
      </w:r>
    </w:p>
    <w:p w14:paraId="4395D250" w14:textId="77777777" w:rsidR="00D075AB" w:rsidRDefault="00D075AB" w:rsidP="00D075AB">
      <w:pPr>
        <w:spacing w:after="0" w:line="360" w:lineRule="auto"/>
        <w:jc w:val="center"/>
        <w:rPr>
          <w:rFonts w:ascii="Arial" w:hAnsi="Arial" w:cs="Arial"/>
        </w:rPr>
      </w:pPr>
      <w:r w:rsidRPr="00424C8E">
        <w:rPr>
          <w:rFonts w:ascii="Arial" w:hAnsi="Arial" w:cs="Arial"/>
          <w:noProof/>
          <w:bdr w:val="single" w:sz="4" w:space="0" w:color="auto"/>
          <w:lang w:eastAsia="fr-FR"/>
        </w:rPr>
        <w:drawing>
          <wp:inline distT="0" distB="0" distL="0" distR="0" wp14:anchorId="13AF2359" wp14:editId="40EBB951">
            <wp:extent cx="5576400" cy="240480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s titre1.png"/>
                    <pic:cNvPicPr/>
                  </pic:nvPicPr>
                  <pic:blipFill>
                    <a:blip r:embed="rId15">
                      <a:extLst>
                        <a:ext uri="{28A0092B-C50C-407E-A947-70E740481C1C}">
                          <a14:useLocalDpi xmlns:a14="http://schemas.microsoft.com/office/drawing/2010/main" val="0"/>
                        </a:ext>
                      </a:extLst>
                    </a:blip>
                    <a:stretch>
                      <a:fillRect/>
                    </a:stretch>
                  </pic:blipFill>
                  <pic:spPr>
                    <a:xfrm>
                      <a:off x="0" y="0"/>
                      <a:ext cx="5576400" cy="2404800"/>
                    </a:xfrm>
                    <a:prstGeom prst="rect">
                      <a:avLst/>
                    </a:prstGeom>
                  </pic:spPr>
                </pic:pic>
              </a:graphicData>
            </a:graphic>
          </wp:inline>
        </w:drawing>
      </w:r>
    </w:p>
    <w:p w14:paraId="65B20E51" w14:textId="77777777" w:rsidR="00D075AB" w:rsidRPr="00CE4D32" w:rsidRDefault="00D075AB" w:rsidP="00D075AB">
      <w:pPr>
        <w:spacing w:after="0" w:line="360" w:lineRule="auto"/>
        <w:jc w:val="center"/>
        <w:rPr>
          <w:rFonts w:ascii="Arial" w:hAnsi="Arial" w:cs="Arial"/>
          <w:i/>
          <w:sz w:val="20"/>
        </w:rPr>
      </w:pPr>
      <w:r w:rsidRPr="007C7D54">
        <w:rPr>
          <w:rFonts w:ascii="Arial" w:hAnsi="Arial" w:cs="Arial"/>
          <w:i/>
          <w:sz w:val="20"/>
        </w:rPr>
        <w:t>Source : MTES/CGDD/SDES, Sit@del2</w:t>
      </w:r>
    </w:p>
    <w:p w14:paraId="7ADC2FA9" w14:textId="77777777" w:rsidR="00D075AB" w:rsidRPr="00165A6E" w:rsidRDefault="00D075AB" w:rsidP="00D075AB">
      <w:pPr>
        <w:spacing w:after="0" w:line="360" w:lineRule="auto"/>
        <w:jc w:val="both"/>
        <w:rPr>
          <w:rFonts w:ascii="Arial" w:hAnsi="Arial" w:cs="Arial"/>
        </w:rPr>
      </w:pPr>
    </w:p>
    <w:p w14:paraId="6C1D585C" w14:textId="77777777" w:rsidR="00D075AB" w:rsidRPr="0018388C" w:rsidRDefault="00D075AB" w:rsidP="00D075AB">
      <w:pPr>
        <w:spacing w:after="0" w:line="360" w:lineRule="auto"/>
        <w:jc w:val="both"/>
        <w:rPr>
          <w:rFonts w:ascii="Arial" w:hAnsi="Arial" w:cs="Arial"/>
          <w:i/>
        </w:rPr>
      </w:pPr>
      <w:r w:rsidRPr="0018388C">
        <w:rPr>
          <w:rFonts w:ascii="Arial" w:hAnsi="Arial" w:cs="Arial"/>
          <w:i/>
        </w:rPr>
        <w:t>1.2.2 Le non résidentiel neuf</w:t>
      </w:r>
    </w:p>
    <w:p w14:paraId="3CD3A5E7" w14:textId="77777777" w:rsidR="00D075AB" w:rsidRDefault="00D075AB" w:rsidP="00D075AB">
      <w:pPr>
        <w:spacing w:after="0" w:line="360" w:lineRule="auto"/>
        <w:jc w:val="both"/>
        <w:rPr>
          <w:rFonts w:ascii="Arial" w:hAnsi="Arial" w:cs="Arial"/>
        </w:rPr>
      </w:pPr>
    </w:p>
    <w:p w14:paraId="1E9058BA" w14:textId="5DB2F225" w:rsidR="00D075AB" w:rsidRDefault="00D075AB" w:rsidP="00D075AB">
      <w:pPr>
        <w:spacing w:after="0" w:line="360" w:lineRule="auto"/>
        <w:jc w:val="both"/>
        <w:rPr>
          <w:rFonts w:ascii="Arial" w:hAnsi="Arial" w:cs="Arial"/>
        </w:rPr>
      </w:pPr>
      <w:r>
        <w:rPr>
          <w:rFonts w:ascii="Arial" w:hAnsi="Arial" w:cs="Arial"/>
        </w:rPr>
        <w:t xml:space="preserve">En 2019, hors locaux agricoles, les surfaces autorisées de bâtiments non résidentiels s’inscrivent en hausse de 5,9 %, avec, </w:t>
      </w:r>
      <w:r w:rsidR="00D711AA">
        <w:rPr>
          <w:rFonts w:ascii="Arial" w:hAnsi="Arial" w:cs="Arial"/>
        </w:rPr>
        <w:t>là encore</w:t>
      </w:r>
      <w:r>
        <w:rPr>
          <w:rFonts w:ascii="Arial" w:hAnsi="Arial" w:cs="Arial"/>
        </w:rPr>
        <w:t>, de</w:t>
      </w:r>
      <w:r w:rsidR="00D711AA">
        <w:rPr>
          <w:rFonts w:ascii="Arial" w:hAnsi="Arial" w:cs="Arial"/>
        </w:rPr>
        <w:t xml:space="preserve"> forte</w:t>
      </w:r>
      <w:r>
        <w:rPr>
          <w:rFonts w:ascii="Arial" w:hAnsi="Arial" w:cs="Arial"/>
        </w:rPr>
        <w:t>s disparités entre segments.</w:t>
      </w:r>
    </w:p>
    <w:p w14:paraId="22A887D4" w14:textId="3605A412" w:rsidR="00D075AB" w:rsidRDefault="00D075AB" w:rsidP="00D075AB">
      <w:pPr>
        <w:spacing w:after="0" w:line="360" w:lineRule="auto"/>
        <w:jc w:val="both"/>
        <w:rPr>
          <w:rFonts w:ascii="Arial" w:hAnsi="Arial" w:cs="Arial"/>
        </w:rPr>
      </w:pPr>
      <w:r w:rsidRPr="001131B7">
        <w:rPr>
          <w:rFonts w:ascii="Arial" w:hAnsi="Arial" w:cs="Arial"/>
        </w:rPr>
        <w:t xml:space="preserve">En détail, les bâtiments industriels et assimilés </w:t>
      </w:r>
      <w:r w:rsidR="00D711AA">
        <w:rPr>
          <w:rFonts w:ascii="Arial" w:hAnsi="Arial" w:cs="Arial"/>
        </w:rPr>
        <w:t>tirent l’ensemble,</w:t>
      </w:r>
      <w:r w:rsidRPr="001131B7">
        <w:rPr>
          <w:rFonts w:ascii="Arial" w:hAnsi="Arial" w:cs="Arial"/>
        </w:rPr>
        <w:t xml:space="preserve"> avec une hausse de 11,1 %, porté</w:t>
      </w:r>
      <w:r w:rsidR="00D711AA">
        <w:rPr>
          <w:rFonts w:ascii="Arial" w:hAnsi="Arial" w:cs="Arial"/>
        </w:rPr>
        <w:t>e</w:t>
      </w:r>
      <w:r w:rsidRPr="001131B7">
        <w:rPr>
          <w:rFonts w:ascii="Arial" w:hAnsi="Arial" w:cs="Arial"/>
        </w:rPr>
        <w:t xml:space="preserve"> par les entrepôts (+30,0 %, en glissement annuel sur dix mois à fin octobre 2019), alors que les </w:t>
      </w:r>
      <w:r w:rsidR="00D711AA">
        <w:rPr>
          <w:rFonts w:ascii="Arial" w:hAnsi="Arial" w:cs="Arial"/>
        </w:rPr>
        <w:t xml:space="preserve">permis relatifs aux </w:t>
      </w:r>
      <w:r w:rsidRPr="001131B7">
        <w:rPr>
          <w:rFonts w:ascii="Arial" w:hAnsi="Arial" w:cs="Arial"/>
        </w:rPr>
        <w:t>bâtiments ind</w:t>
      </w:r>
      <w:r>
        <w:rPr>
          <w:rFonts w:ascii="Arial" w:hAnsi="Arial" w:cs="Arial"/>
        </w:rPr>
        <w:t xml:space="preserve">ustriels </w:t>
      </w:r>
      <w:r w:rsidR="00D711AA">
        <w:rPr>
          <w:rFonts w:ascii="Arial" w:hAnsi="Arial" w:cs="Arial"/>
        </w:rPr>
        <w:t xml:space="preserve">purs </w:t>
      </w:r>
      <w:r>
        <w:rPr>
          <w:rFonts w:ascii="Arial" w:hAnsi="Arial" w:cs="Arial"/>
        </w:rPr>
        <w:t>ressortent étals</w:t>
      </w:r>
      <w:r w:rsidRPr="001131B7">
        <w:rPr>
          <w:rFonts w:ascii="Arial" w:hAnsi="Arial" w:cs="Arial"/>
        </w:rPr>
        <w:t>.</w:t>
      </w:r>
      <w:r>
        <w:rPr>
          <w:rFonts w:ascii="Arial" w:hAnsi="Arial" w:cs="Arial"/>
        </w:rPr>
        <w:t xml:space="preserve"> </w:t>
      </w:r>
    </w:p>
    <w:p w14:paraId="366F8298" w14:textId="2DDE3592" w:rsidR="00D075AB" w:rsidRPr="00F95DB5" w:rsidRDefault="00D075AB" w:rsidP="00D075AB">
      <w:pPr>
        <w:spacing w:after="0" w:line="360" w:lineRule="auto"/>
        <w:jc w:val="both"/>
        <w:rPr>
          <w:rFonts w:ascii="Arial" w:hAnsi="Arial" w:cs="Arial"/>
        </w:rPr>
      </w:pPr>
      <w:r w:rsidRPr="00F95DB5">
        <w:rPr>
          <w:rFonts w:ascii="Arial" w:hAnsi="Arial" w:cs="Arial"/>
        </w:rPr>
        <w:t xml:space="preserve">S’agissant des bureaux, les </w:t>
      </w:r>
      <w:r w:rsidR="00B15B92">
        <w:rPr>
          <w:rFonts w:ascii="Arial" w:hAnsi="Arial" w:cs="Arial"/>
        </w:rPr>
        <w:t>surfaces autorisées</w:t>
      </w:r>
      <w:r w:rsidRPr="00F95DB5">
        <w:rPr>
          <w:rFonts w:ascii="Arial" w:hAnsi="Arial" w:cs="Arial"/>
        </w:rPr>
        <w:t xml:space="preserve"> décélèrent en 2019, </w:t>
      </w:r>
      <w:proofErr w:type="gramStart"/>
      <w:r w:rsidRPr="00F95DB5">
        <w:rPr>
          <w:rFonts w:ascii="Arial" w:hAnsi="Arial" w:cs="Arial"/>
        </w:rPr>
        <w:t>à</w:t>
      </w:r>
      <w:proofErr w:type="gramEnd"/>
      <w:r w:rsidRPr="00F95DB5">
        <w:rPr>
          <w:rFonts w:ascii="Arial" w:hAnsi="Arial" w:cs="Arial"/>
        </w:rPr>
        <w:t xml:space="preserve"> +2,9 %, contre +9,5 % en 2018. Ce ralentissement </w:t>
      </w:r>
      <w:r w:rsidR="00B15B92">
        <w:rPr>
          <w:rFonts w:ascii="Arial" w:hAnsi="Arial" w:cs="Arial"/>
        </w:rPr>
        <w:t>s’explique par le</w:t>
      </w:r>
      <w:r w:rsidR="00D52C9E">
        <w:rPr>
          <w:rFonts w:ascii="Arial" w:hAnsi="Arial" w:cs="Arial"/>
        </w:rPr>
        <w:t xml:space="preserve"> </w:t>
      </w:r>
      <w:r w:rsidRPr="00F95DB5">
        <w:rPr>
          <w:rFonts w:ascii="Arial" w:hAnsi="Arial" w:cs="Arial"/>
        </w:rPr>
        <w:t xml:space="preserve">recul </w:t>
      </w:r>
      <w:r w:rsidR="00D52C9E">
        <w:rPr>
          <w:rFonts w:ascii="Arial" w:hAnsi="Arial" w:cs="Arial"/>
        </w:rPr>
        <w:t xml:space="preserve">marqué </w:t>
      </w:r>
      <w:r w:rsidRPr="00F95DB5">
        <w:rPr>
          <w:rFonts w:ascii="Arial" w:hAnsi="Arial" w:cs="Arial"/>
        </w:rPr>
        <w:t xml:space="preserve">de la demande placée de bureaux, notamment en </w:t>
      </w:r>
      <w:r w:rsidR="00B15B92">
        <w:rPr>
          <w:rFonts w:ascii="Arial" w:hAnsi="Arial" w:cs="Arial"/>
        </w:rPr>
        <w:t>Î</w:t>
      </w:r>
      <w:r w:rsidRPr="00F95DB5">
        <w:rPr>
          <w:rFonts w:ascii="Arial" w:hAnsi="Arial" w:cs="Arial"/>
        </w:rPr>
        <w:t xml:space="preserve">le-de-France, même si l’offre immédiate a continué de se réduire pour atteindre un plus bas historique depuis 2008. </w:t>
      </w:r>
    </w:p>
    <w:p w14:paraId="6EF1CBFF" w14:textId="37ECD889" w:rsidR="00D075AB" w:rsidRDefault="00D075AB" w:rsidP="00D075AB">
      <w:pPr>
        <w:spacing w:after="0" w:line="360" w:lineRule="auto"/>
        <w:jc w:val="both"/>
        <w:rPr>
          <w:rFonts w:ascii="Arial" w:hAnsi="Arial" w:cs="Arial"/>
        </w:rPr>
      </w:pPr>
      <w:r>
        <w:rPr>
          <w:rFonts w:ascii="Arial" w:hAnsi="Arial" w:cs="Arial"/>
        </w:rPr>
        <w:t xml:space="preserve">Quant aux commerces, après la chute de 23,0 % en 2018, les surfaces autorisées progressent légèrement de 2,2 % en 2019, laissant </w:t>
      </w:r>
      <w:r w:rsidR="00D52C9E">
        <w:rPr>
          <w:rFonts w:ascii="Arial" w:hAnsi="Arial" w:cs="Arial"/>
        </w:rPr>
        <w:t>derrière elles le point bas de</w:t>
      </w:r>
      <w:r>
        <w:rPr>
          <w:rFonts w:ascii="Arial" w:hAnsi="Arial" w:cs="Arial"/>
        </w:rPr>
        <w:t xml:space="preserve"> 4,5 millions de m²</w:t>
      </w:r>
      <w:r w:rsidR="00D52C9E">
        <w:rPr>
          <w:rFonts w:ascii="Arial" w:hAnsi="Arial" w:cs="Arial"/>
        </w:rPr>
        <w:t xml:space="preserve"> atteint en 2018</w:t>
      </w:r>
      <w:r>
        <w:rPr>
          <w:rFonts w:ascii="Arial" w:hAnsi="Arial" w:cs="Arial"/>
        </w:rPr>
        <w:t>.</w:t>
      </w:r>
    </w:p>
    <w:p w14:paraId="4D2BDA1D" w14:textId="3F0154BA" w:rsidR="00D075AB" w:rsidRDefault="00D075AB" w:rsidP="00D075AB">
      <w:pPr>
        <w:spacing w:after="0" w:line="360" w:lineRule="auto"/>
        <w:jc w:val="both"/>
        <w:rPr>
          <w:rFonts w:ascii="Arial" w:hAnsi="Arial" w:cs="Arial"/>
        </w:rPr>
      </w:pPr>
      <w:r>
        <w:rPr>
          <w:rFonts w:ascii="Arial" w:hAnsi="Arial" w:cs="Arial"/>
        </w:rPr>
        <w:t>Enfin, à un an des élections municipales, les surfaces autorisées de bâtiments administratifs n’augmentent plus (-0,1 %).</w:t>
      </w:r>
    </w:p>
    <w:p w14:paraId="265B7AB4" w14:textId="77777777" w:rsidR="00D075AB" w:rsidRDefault="00D075AB" w:rsidP="00D075AB">
      <w:pPr>
        <w:spacing w:after="0" w:line="360" w:lineRule="auto"/>
        <w:jc w:val="both"/>
        <w:rPr>
          <w:rFonts w:ascii="Arial" w:hAnsi="Arial" w:cs="Arial"/>
        </w:rPr>
      </w:pPr>
    </w:p>
    <w:p w14:paraId="1E7F2203" w14:textId="4DB9958B" w:rsidR="00D075AB" w:rsidRDefault="00D075AB" w:rsidP="00D075AB">
      <w:pPr>
        <w:spacing w:after="0" w:line="360" w:lineRule="auto"/>
        <w:jc w:val="both"/>
        <w:rPr>
          <w:rFonts w:ascii="Arial" w:hAnsi="Arial" w:cs="Arial"/>
        </w:rPr>
      </w:pPr>
      <w:r>
        <w:rPr>
          <w:rFonts w:ascii="Arial" w:hAnsi="Arial" w:cs="Arial"/>
        </w:rPr>
        <w:t>S’agissant des surfaces commencées, hors locaux agricoles, elles progressent de 6,9 % en 2019</w:t>
      </w:r>
      <w:r w:rsidR="006A5814">
        <w:rPr>
          <w:rFonts w:ascii="Arial" w:hAnsi="Arial" w:cs="Arial"/>
        </w:rPr>
        <w:t>,</w:t>
      </w:r>
      <w:r>
        <w:rPr>
          <w:rFonts w:ascii="Arial" w:hAnsi="Arial" w:cs="Arial"/>
        </w:rPr>
        <w:t xml:space="preserve"> pour atteindre 20,9 millions de m² (cf. graphique 4), un niveau qui reste toutefois en-deçà des 23,7 millions recensés en moyenne depuis 1986. À noter que seules les surfaces mises en chantier de bâtiments industriels et assimilés se lisent en territoire positif (+20,0 %).</w:t>
      </w:r>
    </w:p>
    <w:p w14:paraId="0E568DE7"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Graphique 4 – </w:t>
      </w:r>
      <w:r w:rsidRPr="00CE4D32">
        <w:rPr>
          <w:rFonts w:ascii="Arial" w:hAnsi="Arial" w:cs="Arial"/>
          <w:b/>
        </w:rPr>
        <w:t>Surfaces autorisées et commencées de bâtiments non résidentiels neufs</w:t>
      </w:r>
      <w:r>
        <w:rPr>
          <w:rFonts w:ascii="Arial" w:hAnsi="Arial" w:cs="Arial"/>
        </w:rPr>
        <w:t xml:space="preserve"> (hors locaux agricoles, en date de prise en compte)</w:t>
      </w:r>
    </w:p>
    <w:p w14:paraId="298E9509" w14:textId="77777777" w:rsidR="00D075AB" w:rsidRDefault="00D075AB" w:rsidP="00D075AB">
      <w:pPr>
        <w:spacing w:after="0" w:line="360" w:lineRule="auto"/>
        <w:jc w:val="center"/>
        <w:rPr>
          <w:rFonts w:ascii="Arial" w:hAnsi="Arial" w:cs="Arial"/>
        </w:rPr>
      </w:pPr>
      <w:r w:rsidRPr="000E69AB">
        <w:rPr>
          <w:rFonts w:ascii="Arial" w:hAnsi="Arial" w:cs="Arial"/>
          <w:noProof/>
          <w:lang w:eastAsia="fr-FR"/>
        </w:rPr>
        <w:drawing>
          <wp:inline distT="0" distB="0" distL="0" distR="0" wp14:anchorId="2E3123CE" wp14:editId="2E376556">
            <wp:extent cx="5760720" cy="3060383"/>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14:paraId="5DF843FF" w14:textId="77777777" w:rsidR="00D075AB" w:rsidRPr="00D976ED" w:rsidRDefault="00D075AB" w:rsidP="00D075AB">
      <w:pPr>
        <w:spacing w:after="0" w:line="360" w:lineRule="auto"/>
        <w:jc w:val="center"/>
        <w:rPr>
          <w:rFonts w:ascii="Arial" w:hAnsi="Arial" w:cs="Arial"/>
          <w:i/>
          <w:sz w:val="20"/>
        </w:rPr>
      </w:pPr>
      <w:r w:rsidRPr="00D976ED">
        <w:rPr>
          <w:rFonts w:ascii="Arial" w:hAnsi="Arial" w:cs="Arial"/>
          <w:i/>
          <w:sz w:val="20"/>
        </w:rPr>
        <w:t>Source : FFB à partir de MTES/CGDD/SDES, Sit@del2</w:t>
      </w:r>
    </w:p>
    <w:p w14:paraId="185583A7" w14:textId="77777777" w:rsidR="00D075AB" w:rsidRDefault="00D075AB" w:rsidP="00D075AB">
      <w:pPr>
        <w:spacing w:after="0" w:line="360" w:lineRule="auto"/>
        <w:jc w:val="both"/>
        <w:rPr>
          <w:rFonts w:ascii="Arial" w:hAnsi="Arial" w:cs="Arial"/>
        </w:rPr>
      </w:pPr>
    </w:p>
    <w:p w14:paraId="23A8545E" w14:textId="40B9FD01" w:rsidR="00D075AB" w:rsidRDefault="00D075AB" w:rsidP="00D075AB">
      <w:pPr>
        <w:spacing w:after="0" w:line="360" w:lineRule="auto"/>
        <w:jc w:val="both"/>
        <w:rPr>
          <w:rFonts w:ascii="Arial" w:hAnsi="Arial" w:cs="Arial"/>
        </w:rPr>
      </w:pPr>
      <w:r>
        <w:rPr>
          <w:rFonts w:ascii="Arial" w:hAnsi="Arial" w:cs="Arial"/>
        </w:rPr>
        <w:t xml:space="preserve">En termes de production, le non résidentiel neuf </w:t>
      </w:r>
      <w:r w:rsidR="00B15B92">
        <w:rPr>
          <w:rFonts w:ascii="Arial" w:hAnsi="Arial" w:cs="Arial"/>
        </w:rPr>
        <w:t>affiche</w:t>
      </w:r>
      <w:r>
        <w:rPr>
          <w:rFonts w:ascii="Arial" w:hAnsi="Arial" w:cs="Arial"/>
        </w:rPr>
        <w:t xml:space="preserve"> une croissance soutenue de 5,1 % à prix constants en 201</w:t>
      </w:r>
      <w:r w:rsidR="006A5814">
        <w:rPr>
          <w:rFonts w:ascii="Arial" w:hAnsi="Arial" w:cs="Arial"/>
        </w:rPr>
        <w:t>9</w:t>
      </w:r>
      <w:r>
        <w:rPr>
          <w:rFonts w:ascii="Arial" w:hAnsi="Arial" w:cs="Arial"/>
        </w:rPr>
        <w:t>, proche des 6,0 % de 2018.</w:t>
      </w:r>
    </w:p>
    <w:p w14:paraId="0BB9648E" w14:textId="77777777" w:rsidR="00D075AB" w:rsidRDefault="00D075AB" w:rsidP="00D075AB">
      <w:pPr>
        <w:spacing w:after="0" w:line="360" w:lineRule="auto"/>
        <w:jc w:val="both"/>
        <w:rPr>
          <w:rFonts w:ascii="Arial" w:hAnsi="Arial" w:cs="Arial"/>
        </w:rPr>
      </w:pPr>
    </w:p>
    <w:p w14:paraId="62535D39" w14:textId="3ECFA1E5" w:rsidR="00D075AB" w:rsidRDefault="00B15B92" w:rsidP="00D075AB">
      <w:pPr>
        <w:spacing w:after="0" w:line="360" w:lineRule="auto"/>
        <w:jc w:val="both"/>
        <w:rPr>
          <w:rFonts w:ascii="Arial" w:hAnsi="Arial" w:cs="Arial"/>
        </w:rPr>
      </w:pPr>
      <w:r>
        <w:rPr>
          <w:rFonts w:ascii="Arial" w:hAnsi="Arial" w:cs="Arial"/>
        </w:rPr>
        <w:t>Sur le territoire</w:t>
      </w:r>
      <w:r w:rsidR="00D075AB" w:rsidRPr="00CF60E4">
        <w:rPr>
          <w:rFonts w:ascii="Arial" w:hAnsi="Arial" w:cs="Arial"/>
        </w:rPr>
        <w:t>, en glissement annuel sur douze mois à fin octobre 2019, l’ouest de la France s’en tire bien mieux, tant en termes de surfaces autorisées que commencées</w:t>
      </w:r>
      <w:r w:rsidR="00D075AB">
        <w:rPr>
          <w:rFonts w:ascii="Arial" w:hAnsi="Arial" w:cs="Arial"/>
        </w:rPr>
        <w:t xml:space="preserve"> (cf. cartes 2a et 2b)</w:t>
      </w:r>
      <w:r w:rsidR="00D075AB" w:rsidRPr="00CF60E4">
        <w:rPr>
          <w:rFonts w:ascii="Arial" w:hAnsi="Arial" w:cs="Arial"/>
        </w:rPr>
        <w:t>.</w:t>
      </w:r>
      <w:r w:rsidR="00D075AB">
        <w:rPr>
          <w:rFonts w:ascii="Arial" w:hAnsi="Arial" w:cs="Arial"/>
        </w:rPr>
        <w:t xml:space="preserve"> </w:t>
      </w:r>
    </w:p>
    <w:p w14:paraId="332C320B" w14:textId="77777777" w:rsidR="00D075AB" w:rsidRDefault="00D075AB" w:rsidP="00D075AB">
      <w:pPr>
        <w:spacing w:after="0" w:line="360" w:lineRule="auto"/>
        <w:jc w:val="both"/>
        <w:rPr>
          <w:rFonts w:ascii="Arial" w:hAnsi="Arial" w:cs="Arial"/>
        </w:rPr>
      </w:pPr>
    </w:p>
    <w:p w14:paraId="41889DC6" w14:textId="77777777" w:rsidR="00D075AB" w:rsidRDefault="00D075AB" w:rsidP="00D075AB">
      <w:pPr>
        <w:rPr>
          <w:rFonts w:ascii="Arial" w:hAnsi="Arial" w:cs="Arial"/>
        </w:rPr>
      </w:pPr>
      <w:r>
        <w:rPr>
          <w:rFonts w:ascii="Arial" w:hAnsi="Arial" w:cs="Arial"/>
        </w:rPr>
        <w:br w:type="page"/>
      </w:r>
    </w:p>
    <w:p w14:paraId="31197D3D"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Cartes 2a et 2b – </w:t>
      </w:r>
      <w:r w:rsidRPr="007C7D54">
        <w:rPr>
          <w:rFonts w:ascii="Arial" w:hAnsi="Arial" w:cs="Arial"/>
          <w:b/>
        </w:rPr>
        <w:t>Évolutions régionales</w:t>
      </w:r>
      <w:r>
        <w:rPr>
          <w:rFonts w:ascii="Arial" w:hAnsi="Arial" w:cs="Arial"/>
        </w:rPr>
        <w:t xml:space="preserve"> (en %, en glissement annuel) </w:t>
      </w:r>
      <w:r w:rsidRPr="007C7D54">
        <w:rPr>
          <w:rFonts w:ascii="Arial" w:hAnsi="Arial" w:cs="Arial"/>
          <w:b/>
        </w:rPr>
        <w:t xml:space="preserve">sur douze mois à fin octobre 2019 des surfaces autorisées et commencées de bâtiments non résidentiels </w:t>
      </w:r>
      <w:r>
        <w:rPr>
          <w:rFonts w:ascii="Arial" w:hAnsi="Arial" w:cs="Arial"/>
        </w:rPr>
        <w:t>(hors locaux agricoles)</w:t>
      </w:r>
    </w:p>
    <w:p w14:paraId="39E64B80" w14:textId="77777777" w:rsidR="00D075AB" w:rsidRDefault="00D075AB" w:rsidP="00D075AB">
      <w:pPr>
        <w:spacing w:after="0" w:line="360" w:lineRule="auto"/>
        <w:jc w:val="center"/>
        <w:rPr>
          <w:rFonts w:ascii="Arial" w:hAnsi="Arial" w:cs="Arial"/>
        </w:rPr>
      </w:pPr>
      <w:r w:rsidRPr="007A7997">
        <w:rPr>
          <w:rFonts w:ascii="Arial" w:hAnsi="Arial" w:cs="Arial"/>
          <w:noProof/>
          <w:bdr w:val="single" w:sz="4" w:space="0" w:color="auto"/>
          <w:lang w:eastAsia="fr-FR"/>
        </w:rPr>
        <w:drawing>
          <wp:inline distT="0" distB="0" distL="0" distR="0" wp14:anchorId="1E37635E" wp14:editId="4DEBDFCB">
            <wp:extent cx="5572800" cy="24012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1.png"/>
                    <pic:cNvPicPr/>
                  </pic:nvPicPr>
                  <pic:blipFill>
                    <a:blip r:embed="rId17">
                      <a:extLst>
                        <a:ext uri="{28A0092B-C50C-407E-A947-70E740481C1C}">
                          <a14:useLocalDpi xmlns:a14="http://schemas.microsoft.com/office/drawing/2010/main" val="0"/>
                        </a:ext>
                      </a:extLst>
                    </a:blip>
                    <a:stretch>
                      <a:fillRect/>
                    </a:stretch>
                  </pic:blipFill>
                  <pic:spPr>
                    <a:xfrm>
                      <a:off x="0" y="0"/>
                      <a:ext cx="5572800" cy="2401200"/>
                    </a:xfrm>
                    <a:prstGeom prst="rect">
                      <a:avLst/>
                    </a:prstGeom>
                  </pic:spPr>
                </pic:pic>
              </a:graphicData>
            </a:graphic>
          </wp:inline>
        </w:drawing>
      </w:r>
    </w:p>
    <w:p w14:paraId="52EB4C22" w14:textId="77777777" w:rsidR="00D075AB" w:rsidRDefault="00D075AB" w:rsidP="00D075AB">
      <w:pPr>
        <w:spacing w:after="0" w:line="360" w:lineRule="auto"/>
        <w:jc w:val="center"/>
        <w:rPr>
          <w:rFonts w:ascii="Arial" w:hAnsi="Arial" w:cs="Arial"/>
          <w:i/>
          <w:sz w:val="20"/>
        </w:rPr>
      </w:pPr>
      <w:r w:rsidRPr="007C7D54">
        <w:rPr>
          <w:rFonts w:ascii="Arial" w:hAnsi="Arial" w:cs="Arial"/>
          <w:i/>
          <w:sz w:val="20"/>
        </w:rPr>
        <w:t>Source : MTES/CGDD/SDES, Sit@del2</w:t>
      </w:r>
    </w:p>
    <w:p w14:paraId="27D49E01" w14:textId="77777777" w:rsidR="00D075AB" w:rsidRDefault="00D075AB" w:rsidP="00D075AB">
      <w:pPr>
        <w:spacing w:after="0" w:line="360" w:lineRule="auto"/>
        <w:jc w:val="both"/>
        <w:rPr>
          <w:rFonts w:ascii="Arial" w:hAnsi="Arial" w:cs="Arial"/>
        </w:rPr>
      </w:pPr>
    </w:p>
    <w:p w14:paraId="22BE4430" w14:textId="77777777" w:rsidR="00D075AB" w:rsidRPr="00CE4D32" w:rsidRDefault="00D075AB" w:rsidP="00D075AB">
      <w:pPr>
        <w:spacing w:after="0" w:line="360" w:lineRule="auto"/>
        <w:jc w:val="both"/>
        <w:rPr>
          <w:rFonts w:ascii="Arial" w:hAnsi="Arial" w:cs="Arial"/>
          <w:i/>
        </w:rPr>
      </w:pPr>
      <w:r w:rsidRPr="00CE4D32">
        <w:rPr>
          <w:rFonts w:ascii="Arial" w:hAnsi="Arial" w:cs="Arial"/>
          <w:i/>
        </w:rPr>
        <w:t>1.2.3 L’amélioration-entretien</w:t>
      </w:r>
    </w:p>
    <w:p w14:paraId="784AA546" w14:textId="77777777" w:rsidR="00D075AB" w:rsidRDefault="00D075AB" w:rsidP="00D075AB">
      <w:pPr>
        <w:spacing w:after="0" w:line="360" w:lineRule="auto"/>
        <w:jc w:val="both"/>
        <w:rPr>
          <w:rFonts w:ascii="Arial" w:hAnsi="Arial" w:cs="Arial"/>
        </w:rPr>
      </w:pPr>
    </w:p>
    <w:p w14:paraId="62B36557" w14:textId="28BAA3EB" w:rsidR="00D075AB" w:rsidRDefault="00D075AB" w:rsidP="00D075AB">
      <w:pPr>
        <w:spacing w:after="0" w:line="360" w:lineRule="auto"/>
        <w:jc w:val="both"/>
        <w:rPr>
          <w:rFonts w:ascii="Arial" w:hAnsi="Arial" w:cs="Arial"/>
        </w:rPr>
      </w:pPr>
      <w:r>
        <w:rPr>
          <w:rFonts w:ascii="Arial" w:hAnsi="Arial" w:cs="Arial"/>
        </w:rPr>
        <w:t xml:space="preserve">Compte tenu d’un très mauvais premier trimestre (-2,3 % en glissement annuel, cf. graphique 5), l’activité en amélioration-entretien n’enregistre qu’une modeste hausse de 0,2 % sur l’ensemble de l’année 2019, hors effet prix. Toutefois, il convient de souligner la belle embellie observée depuis le printemps. </w:t>
      </w:r>
    </w:p>
    <w:p w14:paraId="17439EA3" w14:textId="6D5767B5" w:rsidR="00D075AB" w:rsidRDefault="00AE233F" w:rsidP="00D075AB">
      <w:pPr>
        <w:spacing w:after="0" w:line="360" w:lineRule="auto"/>
        <w:jc w:val="both"/>
        <w:rPr>
          <w:rFonts w:ascii="Arial" w:hAnsi="Arial" w:cs="Arial"/>
        </w:rPr>
      </w:pPr>
      <w:r>
        <w:rPr>
          <w:rFonts w:ascii="Arial" w:hAnsi="Arial" w:cs="Arial"/>
        </w:rPr>
        <w:t xml:space="preserve">Au global, </w:t>
      </w:r>
      <w:r w:rsidR="00D075AB">
        <w:rPr>
          <w:rFonts w:ascii="Arial" w:hAnsi="Arial" w:cs="Arial"/>
        </w:rPr>
        <w:t xml:space="preserve">le logement se stabilise (+0,0 %), parvenant </w:t>
      </w:r>
      <w:r>
        <w:rPr>
          <w:rFonts w:ascii="Arial" w:hAnsi="Arial" w:cs="Arial"/>
        </w:rPr>
        <w:t>juste à compenser</w:t>
      </w:r>
      <w:r w:rsidR="00D075AB">
        <w:rPr>
          <w:rFonts w:ascii="Arial" w:hAnsi="Arial" w:cs="Arial"/>
        </w:rPr>
        <w:t xml:space="preserve"> le score catastrophique du premier trimestre (-2,9 %), alors que le non résidentiel se redresse à +0,7 %, après -0,5 % en 2018.</w:t>
      </w:r>
    </w:p>
    <w:p w14:paraId="18299980" w14:textId="77777777" w:rsidR="00D075AB" w:rsidRDefault="00D075AB" w:rsidP="00D075AB">
      <w:pPr>
        <w:spacing w:after="0" w:line="360" w:lineRule="auto"/>
        <w:jc w:val="both"/>
        <w:rPr>
          <w:rFonts w:ascii="Arial" w:hAnsi="Arial" w:cs="Arial"/>
        </w:rPr>
      </w:pPr>
      <w:r>
        <w:rPr>
          <w:rFonts w:ascii="Arial" w:hAnsi="Arial" w:cs="Arial"/>
        </w:rPr>
        <w:t>Par ailleurs, au sein du logement, la rénovation énergétique évolue au même rythme que les autres travaux, sans croissance véritable.</w:t>
      </w:r>
    </w:p>
    <w:p w14:paraId="0EF28584" w14:textId="77777777" w:rsidR="00D075AB" w:rsidRDefault="00D075AB" w:rsidP="00D075AB">
      <w:pPr>
        <w:spacing w:after="0" w:line="360" w:lineRule="auto"/>
        <w:jc w:val="both"/>
        <w:rPr>
          <w:rFonts w:ascii="Arial" w:hAnsi="Arial" w:cs="Arial"/>
        </w:rPr>
      </w:pPr>
    </w:p>
    <w:p w14:paraId="08F8CD68" w14:textId="77777777" w:rsidR="00D075AB" w:rsidRDefault="00D075AB" w:rsidP="00D075AB">
      <w:pPr>
        <w:rPr>
          <w:rFonts w:ascii="Arial" w:hAnsi="Arial" w:cs="Arial"/>
        </w:rPr>
      </w:pPr>
      <w:r>
        <w:rPr>
          <w:rFonts w:ascii="Arial" w:hAnsi="Arial" w:cs="Arial"/>
        </w:rPr>
        <w:br w:type="page"/>
      </w:r>
    </w:p>
    <w:p w14:paraId="4BECC7F3"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Graphique 5 – </w:t>
      </w:r>
      <w:r w:rsidRPr="00BB602F">
        <w:rPr>
          <w:rFonts w:ascii="Arial" w:hAnsi="Arial" w:cs="Arial"/>
          <w:b/>
        </w:rPr>
        <w:t>Évolutions</w:t>
      </w:r>
      <w:r>
        <w:rPr>
          <w:rFonts w:ascii="Arial" w:hAnsi="Arial" w:cs="Arial"/>
        </w:rPr>
        <w:t xml:space="preserve"> (en volume) </w:t>
      </w:r>
      <w:r w:rsidRPr="00BB602F">
        <w:rPr>
          <w:rFonts w:ascii="Arial" w:hAnsi="Arial" w:cs="Arial"/>
          <w:b/>
        </w:rPr>
        <w:t>de l’activité en amélioration-entretien par segment</w:t>
      </w:r>
      <w:r>
        <w:rPr>
          <w:rFonts w:ascii="Arial" w:hAnsi="Arial" w:cs="Arial"/>
        </w:rPr>
        <w:t xml:space="preserve"> (en glissement annuel sur un trimestre, en %)</w:t>
      </w:r>
    </w:p>
    <w:p w14:paraId="55BFA5D2" w14:textId="77777777" w:rsidR="00D075AB" w:rsidRDefault="00D075AB" w:rsidP="00D075AB">
      <w:pPr>
        <w:spacing w:after="0" w:line="360" w:lineRule="auto"/>
        <w:jc w:val="center"/>
        <w:rPr>
          <w:rFonts w:ascii="Arial" w:hAnsi="Arial" w:cs="Arial"/>
        </w:rPr>
      </w:pPr>
      <w:r w:rsidRPr="00C4253C">
        <w:rPr>
          <w:rFonts w:ascii="Arial" w:hAnsi="Arial" w:cs="Arial"/>
          <w:noProof/>
          <w:lang w:eastAsia="fr-FR"/>
        </w:rPr>
        <w:drawing>
          <wp:inline distT="0" distB="0" distL="0" distR="0" wp14:anchorId="6CF555FF" wp14:editId="1AF0FD04">
            <wp:extent cx="5760720" cy="3060383"/>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14:paraId="34493C63" w14:textId="77777777" w:rsidR="00D075AB" w:rsidRPr="00634CA4" w:rsidRDefault="00D075AB" w:rsidP="00D075AB">
      <w:pPr>
        <w:spacing w:after="0" w:line="360" w:lineRule="auto"/>
        <w:jc w:val="center"/>
        <w:rPr>
          <w:rFonts w:ascii="Arial" w:hAnsi="Arial" w:cs="Arial"/>
          <w:i/>
          <w:sz w:val="20"/>
          <w:szCs w:val="20"/>
        </w:rPr>
      </w:pPr>
      <w:r w:rsidRPr="00634CA4">
        <w:rPr>
          <w:rFonts w:ascii="Arial" w:hAnsi="Arial" w:cs="Arial"/>
          <w:i/>
          <w:sz w:val="20"/>
          <w:szCs w:val="20"/>
        </w:rPr>
        <w:t>Source : FFB/Réseau des Cellules économiques régionales de la construction (C</w:t>
      </w:r>
      <w:r>
        <w:rPr>
          <w:rFonts w:ascii="Arial" w:hAnsi="Arial" w:cs="Arial"/>
          <w:i/>
          <w:sz w:val="20"/>
          <w:szCs w:val="20"/>
        </w:rPr>
        <w:t>ERC</w:t>
      </w:r>
      <w:r w:rsidRPr="00634CA4">
        <w:rPr>
          <w:rFonts w:ascii="Arial" w:hAnsi="Arial" w:cs="Arial"/>
          <w:i/>
          <w:sz w:val="20"/>
          <w:szCs w:val="20"/>
        </w:rPr>
        <w:t>)</w:t>
      </w:r>
    </w:p>
    <w:p w14:paraId="789E664C" w14:textId="77777777" w:rsidR="00D075AB" w:rsidRDefault="00D075AB" w:rsidP="00D075AB">
      <w:pPr>
        <w:spacing w:after="0" w:line="360" w:lineRule="auto"/>
        <w:jc w:val="both"/>
        <w:rPr>
          <w:rFonts w:ascii="Arial" w:hAnsi="Arial" w:cs="Arial"/>
        </w:rPr>
      </w:pPr>
    </w:p>
    <w:tbl>
      <w:tblPr>
        <w:tblStyle w:val="Grilledutableau"/>
        <w:tblW w:w="0" w:type="auto"/>
        <w:tblLook w:val="04A0" w:firstRow="1" w:lastRow="0" w:firstColumn="1" w:lastColumn="0" w:noHBand="0" w:noVBand="1"/>
      </w:tblPr>
      <w:tblGrid>
        <w:gridCol w:w="9062"/>
      </w:tblGrid>
      <w:tr w:rsidR="00D075AB" w14:paraId="4D00EDC6" w14:textId="77777777" w:rsidTr="00005480">
        <w:tc>
          <w:tcPr>
            <w:tcW w:w="9062" w:type="dxa"/>
          </w:tcPr>
          <w:p w14:paraId="6FC7649F" w14:textId="77777777" w:rsidR="00D075AB" w:rsidRPr="00CB6442" w:rsidRDefault="00D075AB" w:rsidP="00005480">
            <w:pPr>
              <w:spacing w:line="360" w:lineRule="auto"/>
              <w:jc w:val="both"/>
              <w:rPr>
                <w:rFonts w:ascii="Arial" w:hAnsi="Arial" w:cs="Arial"/>
                <w:u w:val="single"/>
              </w:rPr>
            </w:pPr>
            <w:r w:rsidRPr="00CB6442">
              <w:rPr>
                <w:rFonts w:ascii="Arial" w:hAnsi="Arial" w:cs="Arial"/>
                <w:u w:val="single"/>
              </w:rPr>
              <w:t>Encadré 1. Des résultats confirmés par les enquêtes d’opinion de l’Insee.</w:t>
            </w:r>
          </w:p>
          <w:p w14:paraId="4F6C2112" w14:textId="77777777" w:rsidR="00D075AB" w:rsidRDefault="00D075AB" w:rsidP="00005480">
            <w:pPr>
              <w:spacing w:line="360" w:lineRule="auto"/>
              <w:jc w:val="both"/>
              <w:rPr>
                <w:rFonts w:ascii="Arial" w:hAnsi="Arial" w:cs="Arial"/>
              </w:rPr>
            </w:pPr>
          </w:p>
          <w:p w14:paraId="023D8C61" w14:textId="5422CE2F" w:rsidR="00D075AB" w:rsidRDefault="00D075AB" w:rsidP="00005480">
            <w:pPr>
              <w:spacing w:line="360" w:lineRule="auto"/>
              <w:jc w:val="both"/>
              <w:rPr>
                <w:rFonts w:ascii="Arial" w:hAnsi="Arial" w:cs="Arial"/>
              </w:rPr>
            </w:pPr>
            <w:r>
              <w:rPr>
                <w:rFonts w:ascii="Arial" w:hAnsi="Arial" w:cs="Arial"/>
              </w:rPr>
              <w:t xml:space="preserve">Pour mémoire, depuis le premier trimestre 2018, la FFB fait réaliser par le réseau des CERC une enquête auprès de 5 000 entreprises répondantes pour mesurer, chaque trimestre, l’activité </w:t>
            </w:r>
            <w:r w:rsidR="00AE233F">
              <w:rPr>
                <w:rFonts w:ascii="Arial" w:hAnsi="Arial" w:cs="Arial"/>
              </w:rPr>
              <w:t xml:space="preserve">facturée </w:t>
            </w:r>
            <w:r>
              <w:rPr>
                <w:rFonts w:ascii="Arial" w:hAnsi="Arial" w:cs="Arial"/>
              </w:rPr>
              <w:t>en rénovation.</w:t>
            </w:r>
            <w:r w:rsidR="00AE233F" w:rsidDel="00AE233F">
              <w:rPr>
                <w:rFonts w:ascii="Arial" w:hAnsi="Arial" w:cs="Arial"/>
              </w:rPr>
              <w:t xml:space="preserve"> </w:t>
            </w:r>
          </w:p>
          <w:p w14:paraId="0E3F1ABE" w14:textId="5F97D909" w:rsidR="00D075AB" w:rsidRDefault="00D075AB" w:rsidP="00005480">
            <w:pPr>
              <w:spacing w:line="360" w:lineRule="auto"/>
              <w:jc w:val="both"/>
              <w:rPr>
                <w:rFonts w:ascii="Arial" w:hAnsi="Arial" w:cs="Arial"/>
              </w:rPr>
            </w:pPr>
            <w:r>
              <w:rPr>
                <w:rFonts w:ascii="Arial" w:hAnsi="Arial" w:cs="Arial"/>
              </w:rPr>
              <w:t>Par ailleurs, tous les trimestres, l’Insee interroge un échantillon d’entreprises artisanales, très présentes sur ce marché, pour connaître leur ressenti sur l’activité réalisée</w:t>
            </w:r>
            <w:r w:rsidR="00AE233F">
              <w:rPr>
                <w:rFonts w:ascii="Arial" w:hAnsi="Arial" w:cs="Arial"/>
              </w:rPr>
              <w:t xml:space="preserve"> (mais pas nécessairement facturée)</w:t>
            </w:r>
            <w:r>
              <w:rPr>
                <w:rFonts w:ascii="Arial" w:hAnsi="Arial" w:cs="Arial"/>
              </w:rPr>
              <w:t xml:space="preserve">. </w:t>
            </w:r>
          </w:p>
          <w:p w14:paraId="25F192AA" w14:textId="77777777" w:rsidR="00D075AB" w:rsidRDefault="00D075AB" w:rsidP="00005480">
            <w:pPr>
              <w:spacing w:line="360" w:lineRule="auto"/>
              <w:jc w:val="both"/>
              <w:rPr>
                <w:rFonts w:ascii="Arial" w:hAnsi="Arial" w:cs="Arial"/>
              </w:rPr>
            </w:pPr>
          </w:p>
          <w:p w14:paraId="3090D07F" w14:textId="23069A5E" w:rsidR="00D075AB" w:rsidRDefault="00D075AB" w:rsidP="00005480">
            <w:pPr>
              <w:spacing w:line="360" w:lineRule="auto"/>
              <w:jc w:val="both"/>
              <w:rPr>
                <w:rFonts w:ascii="Arial" w:hAnsi="Arial" w:cs="Arial"/>
              </w:rPr>
            </w:pPr>
            <w:r>
              <w:rPr>
                <w:rFonts w:ascii="Arial" w:hAnsi="Arial" w:cs="Arial"/>
              </w:rPr>
              <w:t>Or, le très mauvais score enregistré au premier trimestre par l’enquête CERC sur le segment du logement</w:t>
            </w:r>
            <w:r w:rsidR="00AE233F">
              <w:rPr>
                <w:rFonts w:ascii="Arial" w:hAnsi="Arial" w:cs="Arial"/>
              </w:rPr>
              <w:t>, bien que dans la suite de la chute du quatrième trimestre 2018,</w:t>
            </w:r>
            <w:r>
              <w:rPr>
                <w:rFonts w:ascii="Arial" w:hAnsi="Arial" w:cs="Arial"/>
              </w:rPr>
              <w:t xml:space="preserve"> </w:t>
            </w:r>
            <w:r w:rsidR="00AE233F">
              <w:rPr>
                <w:rFonts w:ascii="Arial" w:hAnsi="Arial" w:cs="Arial"/>
              </w:rPr>
              <w:t>a su</w:t>
            </w:r>
            <w:r w:rsidR="00D44C87">
              <w:rPr>
                <w:rFonts w:ascii="Arial" w:hAnsi="Arial" w:cs="Arial"/>
              </w:rPr>
              <w:t>s</w:t>
            </w:r>
            <w:r w:rsidR="00AE233F">
              <w:rPr>
                <w:rFonts w:ascii="Arial" w:hAnsi="Arial" w:cs="Arial"/>
              </w:rPr>
              <w:t>cité quelques interrogations</w:t>
            </w:r>
            <w:r>
              <w:rPr>
                <w:rFonts w:ascii="Arial" w:hAnsi="Arial" w:cs="Arial"/>
              </w:rPr>
              <w:t>. Toutefois, il ressort bien en adéquation avec les opinions des chefs d’entreprises</w:t>
            </w:r>
            <w:r w:rsidR="00AE233F">
              <w:rPr>
                <w:rFonts w:ascii="Arial" w:hAnsi="Arial" w:cs="Arial"/>
              </w:rPr>
              <w:t xml:space="preserve"> recueillies par</w:t>
            </w:r>
            <w:r>
              <w:rPr>
                <w:rFonts w:ascii="Arial" w:hAnsi="Arial" w:cs="Arial"/>
              </w:rPr>
              <w:t xml:space="preserve"> l’Insee</w:t>
            </w:r>
            <w:r w:rsidR="00AE233F">
              <w:rPr>
                <w:rFonts w:ascii="Arial" w:hAnsi="Arial" w:cs="Arial"/>
              </w:rPr>
              <w:t xml:space="preserve"> décalées</w:t>
            </w:r>
            <w:r>
              <w:rPr>
                <w:rFonts w:ascii="Arial" w:hAnsi="Arial" w:cs="Arial"/>
              </w:rPr>
              <w:t xml:space="preserve"> d’un trimestre, comme c’est également le cas pour la série complète</w:t>
            </w:r>
            <w:r w:rsidR="00AE233F">
              <w:rPr>
                <w:rFonts w:ascii="Arial" w:hAnsi="Arial" w:cs="Arial"/>
              </w:rPr>
              <w:t xml:space="preserve"> (voir graphique E.1)</w:t>
            </w:r>
            <w:r>
              <w:rPr>
                <w:rFonts w:ascii="Arial" w:hAnsi="Arial" w:cs="Arial"/>
              </w:rPr>
              <w:t>. Ce</w:t>
            </w:r>
            <w:r w:rsidR="00660BB7">
              <w:rPr>
                <w:rFonts w:ascii="Arial" w:hAnsi="Arial" w:cs="Arial"/>
              </w:rPr>
              <w:t xml:space="preserve">t </w:t>
            </w:r>
            <w:r w:rsidR="00AE233F">
              <w:rPr>
                <w:rFonts w:ascii="Arial" w:hAnsi="Arial" w:cs="Arial"/>
              </w:rPr>
              <w:t xml:space="preserve">écart dans le temps peut </w:t>
            </w:r>
            <w:r>
              <w:rPr>
                <w:rFonts w:ascii="Arial" w:hAnsi="Arial" w:cs="Arial"/>
              </w:rPr>
              <w:t>s’explique</w:t>
            </w:r>
            <w:r w:rsidR="00660BB7">
              <w:rPr>
                <w:rFonts w:ascii="Arial" w:hAnsi="Arial" w:cs="Arial"/>
              </w:rPr>
              <w:t>r</w:t>
            </w:r>
            <w:r>
              <w:rPr>
                <w:rFonts w:ascii="Arial" w:hAnsi="Arial" w:cs="Arial"/>
              </w:rPr>
              <w:t xml:space="preserve"> par le fait que la facturation intervienne</w:t>
            </w:r>
            <w:r w:rsidR="006A5814">
              <w:rPr>
                <w:rFonts w:ascii="Arial" w:hAnsi="Arial" w:cs="Arial"/>
              </w:rPr>
              <w:t>, en moyenne,</w:t>
            </w:r>
            <w:r>
              <w:rPr>
                <w:rFonts w:ascii="Arial" w:hAnsi="Arial" w:cs="Arial"/>
              </w:rPr>
              <w:t xml:space="preserve"> un trimestre </w:t>
            </w:r>
            <w:r w:rsidR="00AE233F">
              <w:rPr>
                <w:rFonts w:ascii="Arial" w:hAnsi="Arial" w:cs="Arial"/>
              </w:rPr>
              <w:t>après la réalisation des travaux</w:t>
            </w:r>
            <w:r>
              <w:rPr>
                <w:rFonts w:ascii="Arial" w:hAnsi="Arial" w:cs="Arial"/>
              </w:rPr>
              <w:t>.</w:t>
            </w:r>
          </w:p>
          <w:p w14:paraId="5B6797FA" w14:textId="052E8292" w:rsidR="006A5814" w:rsidRDefault="006A5814" w:rsidP="00005480">
            <w:pPr>
              <w:spacing w:line="360" w:lineRule="auto"/>
              <w:jc w:val="both"/>
              <w:rPr>
                <w:rFonts w:ascii="Arial" w:hAnsi="Arial" w:cs="Arial"/>
              </w:rPr>
            </w:pPr>
          </w:p>
          <w:p w14:paraId="6453C659" w14:textId="77777777" w:rsidR="006A5814" w:rsidRDefault="006A5814" w:rsidP="00005480">
            <w:pPr>
              <w:spacing w:line="360" w:lineRule="auto"/>
              <w:jc w:val="both"/>
              <w:rPr>
                <w:rFonts w:ascii="Arial" w:hAnsi="Arial" w:cs="Arial"/>
              </w:rPr>
            </w:pPr>
          </w:p>
          <w:p w14:paraId="3E9B7725" w14:textId="77777777" w:rsidR="00D075AB" w:rsidRDefault="00D075AB" w:rsidP="00005480">
            <w:pPr>
              <w:spacing w:line="360" w:lineRule="auto"/>
              <w:jc w:val="both"/>
              <w:rPr>
                <w:rFonts w:ascii="Arial" w:hAnsi="Arial" w:cs="Arial"/>
              </w:rPr>
            </w:pPr>
          </w:p>
          <w:p w14:paraId="6D36AC91" w14:textId="77777777" w:rsidR="00D075AB" w:rsidRDefault="00D075AB" w:rsidP="00005480">
            <w:pPr>
              <w:spacing w:line="360" w:lineRule="auto"/>
              <w:jc w:val="both"/>
              <w:rPr>
                <w:rFonts w:ascii="Arial" w:hAnsi="Arial" w:cs="Arial"/>
              </w:rPr>
            </w:pPr>
          </w:p>
          <w:p w14:paraId="6587269E" w14:textId="55AA9220" w:rsidR="00D075AB" w:rsidRPr="0086746B" w:rsidRDefault="00D075AB" w:rsidP="00005480">
            <w:pPr>
              <w:spacing w:line="360" w:lineRule="auto"/>
              <w:jc w:val="center"/>
              <w:rPr>
                <w:rFonts w:ascii="Arial" w:hAnsi="Arial" w:cs="Arial"/>
                <w:b/>
              </w:rPr>
            </w:pPr>
            <w:r>
              <w:rPr>
                <w:rFonts w:ascii="Arial" w:hAnsi="Arial" w:cs="Arial"/>
              </w:rPr>
              <w:t xml:space="preserve">Graphique E.1 – </w:t>
            </w:r>
            <w:r w:rsidRPr="0086746B">
              <w:rPr>
                <w:rFonts w:ascii="Arial" w:hAnsi="Arial" w:cs="Arial"/>
                <w:b/>
              </w:rPr>
              <w:t>Comparaisons des résultats des enquêtes C</w:t>
            </w:r>
            <w:r w:rsidR="006A5814">
              <w:rPr>
                <w:rFonts w:ascii="Arial" w:hAnsi="Arial" w:cs="Arial"/>
                <w:b/>
              </w:rPr>
              <w:t>ERC</w:t>
            </w:r>
            <w:r w:rsidRPr="0086746B">
              <w:rPr>
                <w:rFonts w:ascii="Arial" w:hAnsi="Arial" w:cs="Arial"/>
                <w:b/>
              </w:rPr>
              <w:t xml:space="preserve"> et opinions de l’Insee des artisans concernant l’activité en amélioration-entretien du logement</w:t>
            </w:r>
          </w:p>
          <w:p w14:paraId="0CE163A1" w14:textId="0FDFBE56" w:rsidR="00D075AB" w:rsidRDefault="00976C8D" w:rsidP="00005480">
            <w:pPr>
              <w:spacing w:line="360" w:lineRule="auto"/>
              <w:jc w:val="both"/>
              <w:rPr>
                <w:rFonts w:ascii="Arial" w:hAnsi="Arial" w:cs="Arial"/>
              </w:rPr>
            </w:pPr>
            <w:r w:rsidRPr="00976C8D">
              <w:rPr>
                <w:rFonts w:ascii="Arial" w:hAnsi="Arial" w:cs="Arial"/>
                <w:noProof/>
                <w:lang w:eastAsia="fr-FR"/>
              </w:rPr>
              <w:drawing>
                <wp:inline distT="0" distB="0" distL="0" distR="0" wp14:anchorId="63B2BD59" wp14:editId="4D26AA1C">
                  <wp:extent cx="5590800" cy="2959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800" cy="2959200"/>
                          </a:xfrm>
                          <a:prstGeom prst="rect">
                            <a:avLst/>
                          </a:prstGeom>
                          <a:noFill/>
                          <a:ln>
                            <a:noFill/>
                          </a:ln>
                        </pic:spPr>
                      </pic:pic>
                    </a:graphicData>
                  </a:graphic>
                </wp:inline>
              </w:drawing>
            </w:r>
          </w:p>
          <w:p w14:paraId="3DB7BE00" w14:textId="0F5A5D0E" w:rsidR="00D075AB" w:rsidRDefault="00D075AB" w:rsidP="00976C8D">
            <w:pPr>
              <w:spacing w:line="360" w:lineRule="auto"/>
              <w:jc w:val="center"/>
              <w:rPr>
                <w:rFonts w:ascii="Arial" w:hAnsi="Arial" w:cs="Arial"/>
              </w:rPr>
            </w:pPr>
            <w:r w:rsidRPr="00634CA4">
              <w:rPr>
                <w:rFonts w:ascii="Arial" w:hAnsi="Arial" w:cs="Arial"/>
                <w:i/>
                <w:sz w:val="20"/>
                <w:szCs w:val="20"/>
              </w:rPr>
              <w:t>Source : FFB/Réseau des CERC</w:t>
            </w:r>
            <w:r w:rsidR="00976C8D">
              <w:rPr>
                <w:rFonts w:ascii="Arial" w:hAnsi="Arial" w:cs="Arial"/>
                <w:i/>
                <w:sz w:val="20"/>
                <w:szCs w:val="20"/>
              </w:rPr>
              <w:t> ;</w:t>
            </w:r>
            <w:r w:rsidRPr="00634CA4">
              <w:rPr>
                <w:rFonts w:ascii="Arial" w:hAnsi="Arial" w:cs="Arial"/>
                <w:i/>
                <w:sz w:val="20"/>
                <w:szCs w:val="20"/>
              </w:rPr>
              <w:t xml:space="preserve"> Insee</w:t>
            </w:r>
          </w:p>
        </w:tc>
      </w:tr>
    </w:tbl>
    <w:p w14:paraId="37AEB4B9" w14:textId="77777777" w:rsidR="00D075AB" w:rsidRDefault="00D075AB" w:rsidP="00D075AB">
      <w:pPr>
        <w:spacing w:after="0" w:line="360" w:lineRule="auto"/>
        <w:jc w:val="both"/>
        <w:rPr>
          <w:rFonts w:ascii="Arial" w:hAnsi="Arial" w:cs="Arial"/>
        </w:rPr>
      </w:pPr>
    </w:p>
    <w:p w14:paraId="4457F759" w14:textId="77777777" w:rsidR="00D075AB" w:rsidRPr="00EC730B" w:rsidRDefault="00D075AB" w:rsidP="00D075AB">
      <w:pPr>
        <w:spacing w:after="0" w:line="360" w:lineRule="auto"/>
        <w:jc w:val="both"/>
        <w:rPr>
          <w:rFonts w:ascii="Arial" w:hAnsi="Arial" w:cs="Arial"/>
          <w:i/>
        </w:rPr>
      </w:pPr>
      <w:r w:rsidRPr="00EC730B">
        <w:rPr>
          <w:rFonts w:ascii="Arial" w:hAnsi="Arial" w:cs="Arial"/>
          <w:i/>
        </w:rPr>
        <w:t>1.2.4 Le bâtiment</w:t>
      </w:r>
    </w:p>
    <w:p w14:paraId="7DB8D883" w14:textId="77777777" w:rsidR="00D075AB" w:rsidRDefault="00D075AB" w:rsidP="00D075AB">
      <w:pPr>
        <w:spacing w:after="0" w:line="360" w:lineRule="auto"/>
        <w:jc w:val="both"/>
        <w:rPr>
          <w:rFonts w:ascii="Arial" w:hAnsi="Arial" w:cs="Arial"/>
        </w:rPr>
      </w:pPr>
    </w:p>
    <w:p w14:paraId="375708DC" w14:textId="553416EC" w:rsidR="00D075AB" w:rsidRDefault="00D075AB" w:rsidP="00D075AB">
      <w:pPr>
        <w:spacing w:after="0" w:line="360" w:lineRule="auto"/>
        <w:jc w:val="both"/>
        <w:rPr>
          <w:rFonts w:ascii="Arial" w:hAnsi="Arial" w:cs="Arial"/>
        </w:rPr>
      </w:pPr>
      <w:r>
        <w:rPr>
          <w:rFonts w:ascii="Arial" w:hAnsi="Arial" w:cs="Arial"/>
        </w:rPr>
        <w:t xml:space="preserve">En termes d’activité, le bâtiment s’affiche en croissance de 1,2 % en volume en 2019, </w:t>
      </w:r>
      <w:r w:rsidR="0079277B">
        <w:rPr>
          <w:rFonts w:ascii="Arial" w:hAnsi="Arial" w:cs="Arial"/>
        </w:rPr>
        <w:t xml:space="preserve">soit </w:t>
      </w:r>
      <w:r>
        <w:rPr>
          <w:rFonts w:ascii="Arial" w:hAnsi="Arial" w:cs="Arial"/>
        </w:rPr>
        <w:t>un rythme proche de celui observé en 2018 (+1,3 %). Comme mentionné précédemment, le non résidentiel neuf tire la croissance du secteur, à +5,1 %, alors que le logement neuf et l’amélioration-entretien n’affichent que de petites croissances</w:t>
      </w:r>
      <w:r w:rsidR="00342178">
        <w:rPr>
          <w:rFonts w:ascii="Arial" w:hAnsi="Arial" w:cs="Arial"/>
        </w:rPr>
        <w:t>,</w:t>
      </w:r>
      <w:r>
        <w:rPr>
          <w:rFonts w:ascii="Arial" w:hAnsi="Arial" w:cs="Arial"/>
        </w:rPr>
        <w:t xml:space="preserve"> respectivement </w:t>
      </w:r>
      <w:r w:rsidR="00342178">
        <w:rPr>
          <w:rFonts w:ascii="Arial" w:hAnsi="Arial" w:cs="Arial"/>
        </w:rPr>
        <w:t xml:space="preserve">à </w:t>
      </w:r>
      <w:r>
        <w:rPr>
          <w:rFonts w:ascii="Arial" w:hAnsi="Arial" w:cs="Arial"/>
        </w:rPr>
        <w:t>+0,8 % et +0,2 %.</w:t>
      </w:r>
    </w:p>
    <w:p w14:paraId="20FBAFB9" w14:textId="77777777" w:rsidR="00D075AB" w:rsidRDefault="00D075AB" w:rsidP="00D075AB">
      <w:pPr>
        <w:spacing w:after="0" w:line="360" w:lineRule="auto"/>
        <w:jc w:val="both"/>
        <w:rPr>
          <w:rFonts w:ascii="Arial" w:hAnsi="Arial" w:cs="Arial"/>
        </w:rPr>
      </w:pPr>
    </w:p>
    <w:p w14:paraId="729110D7" w14:textId="77777777" w:rsidR="00D075AB" w:rsidRPr="005D7113" w:rsidRDefault="00D075AB" w:rsidP="00D075AB">
      <w:pPr>
        <w:rPr>
          <w:rFonts w:ascii="Arial" w:hAnsi="Arial" w:cs="Arial"/>
          <w:u w:val="single"/>
        </w:rPr>
      </w:pPr>
      <w:r>
        <w:rPr>
          <w:rFonts w:ascii="Arial" w:hAnsi="Arial" w:cs="Arial"/>
          <w:u w:val="single"/>
        </w:rPr>
        <w:t>1</w:t>
      </w:r>
      <w:r w:rsidRPr="005D7113">
        <w:rPr>
          <w:rFonts w:ascii="Arial" w:hAnsi="Arial" w:cs="Arial"/>
          <w:u w:val="single"/>
        </w:rPr>
        <w:t>.3 Les entreprises de bâtiment</w:t>
      </w:r>
    </w:p>
    <w:p w14:paraId="423FF0A1" w14:textId="77777777" w:rsidR="00D075AB" w:rsidRDefault="00D075AB" w:rsidP="00D075AB">
      <w:pPr>
        <w:spacing w:after="0" w:line="360" w:lineRule="auto"/>
        <w:jc w:val="both"/>
        <w:rPr>
          <w:rFonts w:ascii="Arial" w:hAnsi="Arial" w:cs="Arial"/>
        </w:rPr>
      </w:pPr>
    </w:p>
    <w:p w14:paraId="29FF3951" w14:textId="77777777" w:rsidR="00D075AB" w:rsidRPr="006F2FEE" w:rsidRDefault="00D075AB" w:rsidP="00D075AB">
      <w:pPr>
        <w:spacing w:after="0" w:line="360" w:lineRule="auto"/>
        <w:jc w:val="both"/>
        <w:rPr>
          <w:rFonts w:ascii="Arial" w:hAnsi="Arial" w:cs="Arial"/>
          <w:i/>
        </w:rPr>
      </w:pPr>
      <w:r w:rsidRPr="006F2FEE">
        <w:rPr>
          <w:rFonts w:ascii="Arial" w:hAnsi="Arial" w:cs="Arial"/>
          <w:i/>
        </w:rPr>
        <w:t>1.3.1 L’emploi</w:t>
      </w:r>
    </w:p>
    <w:p w14:paraId="3F469053" w14:textId="77777777" w:rsidR="00D075AB" w:rsidRDefault="00D075AB" w:rsidP="00D075AB">
      <w:pPr>
        <w:spacing w:after="0" w:line="360" w:lineRule="auto"/>
        <w:jc w:val="both"/>
        <w:rPr>
          <w:rFonts w:ascii="Arial" w:hAnsi="Arial" w:cs="Arial"/>
        </w:rPr>
      </w:pPr>
    </w:p>
    <w:p w14:paraId="111B86F6" w14:textId="18373907" w:rsidR="00D075AB" w:rsidRDefault="00D075AB" w:rsidP="00D075AB">
      <w:pPr>
        <w:spacing w:after="0" w:line="360" w:lineRule="auto"/>
        <w:jc w:val="both"/>
        <w:rPr>
          <w:rFonts w:ascii="Arial" w:hAnsi="Arial" w:cs="Arial"/>
        </w:rPr>
      </w:pPr>
      <w:r>
        <w:rPr>
          <w:rFonts w:ascii="Arial" w:hAnsi="Arial" w:cs="Arial"/>
        </w:rPr>
        <w:t xml:space="preserve">Après deux années 2017 et 2018 </w:t>
      </w:r>
      <w:r w:rsidR="00342178">
        <w:rPr>
          <w:rFonts w:ascii="Arial" w:hAnsi="Arial" w:cs="Arial"/>
        </w:rPr>
        <w:t xml:space="preserve">de forte croissance, avec </w:t>
      </w:r>
      <w:r>
        <w:rPr>
          <w:rFonts w:ascii="Arial" w:hAnsi="Arial" w:cs="Arial"/>
        </w:rPr>
        <w:t xml:space="preserve">plus de 49 000 postes </w:t>
      </w:r>
      <w:r w:rsidR="00342178">
        <w:rPr>
          <w:rFonts w:ascii="Arial" w:hAnsi="Arial" w:cs="Arial"/>
        </w:rPr>
        <w:t xml:space="preserve">créés </w:t>
      </w:r>
      <w:r>
        <w:rPr>
          <w:rFonts w:ascii="Arial" w:hAnsi="Arial" w:cs="Arial"/>
        </w:rPr>
        <w:t>y compris intérimaires en équivalent-emplois à temps plein (ETP)</w:t>
      </w:r>
      <w:r w:rsidR="00FA04EE">
        <w:rPr>
          <w:rFonts w:ascii="Arial" w:hAnsi="Arial" w:cs="Arial"/>
        </w:rPr>
        <w:t xml:space="preserve"> dans le secteur du bâtiment</w:t>
      </w:r>
      <w:r>
        <w:rPr>
          <w:rFonts w:ascii="Arial" w:hAnsi="Arial" w:cs="Arial"/>
        </w:rPr>
        <w:t>, la dynamique s’est encore un peu accélérée en 201</w:t>
      </w:r>
      <w:r w:rsidR="00FA04EE">
        <w:rPr>
          <w:rFonts w:ascii="Arial" w:hAnsi="Arial" w:cs="Arial"/>
        </w:rPr>
        <w:t>9</w:t>
      </w:r>
      <w:r w:rsidR="00342178">
        <w:rPr>
          <w:rFonts w:ascii="Arial" w:hAnsi="Arial" w:cs="Arial"/>
        </w:rPr>
        <w:t>. De fait</w:t>
      </w:r>
      <w:r>
        <w:rPr>
          <w:rFonts w:ascii="Arial" w:hAnsi="Arial" w:cs="Arial"/>
        </w:rPr>
        <w:t xml:space="preserve">, </w:t>
      </w:r>
      <w:r w:rsidR="00342178">
        <w:rPr>
          <w:rFonts w:ascii="Arial" w:hAnsi="Arial" w:cs="Arial"/>
        </w:rPr>
        <w:t>le secteur enregistre une hausse nette d’</w:t>
      </w:r>
      <w:r>
        <w:rPr>
          <w:rFonts w:ascii="Arial" w:hAnsi="Arial" w:cs="Arial"/>
        </w:rPr>
        <w:t xml:space="preserve">un peu moins de 35 000 </w:t>
      </w:r>
      <w:r w:rsidR="00342178">
        <w:rPr>
          <w:rFonts w:ascii="Arial" w:hAnsi="Arial" w:cs="Arial"/>
        </w:rPr>
        <w:t xml:space="preserve">postes, </w:t>
      </w:r>
      <w:r>
        <w:rPr>
          <w:rFonts w:ascii="Arial" w:hAnsi="Arial" w:cs="Arial"/>
        </w:rPr>
        <w:t>dont environ 30 000 salariés (cf. graphique 6)</w:t>
      </w:r>
      <w:r w:rsidR="00342178">
        <w:rPr>
          <w:rFonts w:ascii="Arial" w:hAnsi="Arial" w:cs="Arial"/>
        </w:rPr>
        <w:t>, très majoritairement en CDI</w:t>
      </w:r>
      <w:r>
        <w:rPr>
          <w:rFonts w:ascii="Arial" w:hAnsi="Arial" w:cs="Arial"/>
        </w:rPr>
        <w:t>.</w:t>
      </w:r>
    </w:p>
    <w:p w14:paraId="681557CB" w14:textId="3ECCA7EB" w:rsidR="00D075AB" w:rsidRDefault="00D075AB" w:rsidP="00D075AB">
      <w:pPr>
        <w:spacing w:after="0" w:line="360" w:lineRule="auto"/>
        <w:jc w:val="both"/>
        <w:rPr>
          <w:rFonts w:ascii="Arial" w:hAnsi="Arial" w:cs="Arial"/>
        </w:rPr>
      </w:pPr>
      <w:r>
        <w:rPr>
          <w:rFonts w:ascii="Arial" w:hAnsi="Arial" w:cs="Arial"/>
        </w:rPr>
        <w:t>Ce constat</w:t>
      </w:r>
      <w:r w:rsidRPr="002F1460">
        <w:rPr>
          <w:rFonts w:ascii="Arial" w:hAnsi="Arial" w:cs="Arial"/>
        </w:rPr>
        <w:t xml:space="preserve"> s’avère d’autant plus remarquable que les difficultés de recrutement sont restées à haut niveau tout au long de l’année</w:t>
      </w:r>
      <w:r>
        <w:rPr>
          <w:rFonts w:ascii="Arial" w:hAnsi="Arial" w:cs="Arial"/>
        </w:rPr>
        <w:t xml:space="preserve"> dans le secteur, comme l’ont souligné environ trois </w:t>
      </w:r>
      <w:r>
        <w:rPr>
          <w:rFonts w:ascii="Arial" w:hAnsi="Arial" w:cs="Arial"/>
        </w:rPr>
        <w:lastRenderedPageBreak/>
        <w:t>chefs d’entreprise de plus de dix salariés sur quatre et plus d’un artisan sur deux (cf. graphique 7), m</w:t>
      </w:r>
      <w:r w:rsidR="004D5305">
        <w:rPr>
          <w:rFonts w:ascii="Arial" w:hAnsi="Arial" w:cs="Arial"/>
        </w:rPr>
        <w:t>algré un léger affaiblissement</w:t>
      </w:r>
      <w:r>
        <w:rPr>
          <w:rFonts w:ascii="Arial" w:hAnsi="Arial" w:cs="Arial"/>
        </w:rPr>
        <w:t xml:space="preserve"> dans le gros œuvre</w:t>
      </w:r>
      <w:r w:rsidRPr="00075B8A">
        <w:rPr>
          <w:rFonts w:ascii="Arial" w:hAnsi="Arial" w:cs="Arial"/>
        </w:rPr>
        <w:t>.</w:t>
      </w:r>
    </w:p>
    <w:p w14:paraId="4297B6F9" w14:textId="77777777" w:rsidR="004F5F61" w:rsidRDefault="004F5F61" w:rsidP="00D075AB">
      <w:pPr>
        <w:spacing w:after="0" w:line="360" w:lineRule="auto"/>
        <w:jc w:val="both"/>
        <w:rPr>
          <w:rFonts w:ascii="Arial" w:hAnsi="Arial" w:cs="Arial"/>
        </w:rPr>
      </w:pPr>
    </w:p>
    <w:p w14:paraId="15D5EB14" w14:textId="77777777" w:rsidR="00D075AB" w:rsidRDefault="00D075AB" w:rsidP="00D075AB">
      <w:pPr>
        <w:spacing w:after="0" w:line="360" w:lineRule="auto"/>
        <w:jc w:val="center"/>
        <w:rPr>
          <w:rFonts w:ascii="Arial" w:hAnsi="Arial" w:cs="Arial"/>
        </w:rPr>
      </w:pPr>
      <w:r>
        <w:rPr>
          <w:rFonts w:ascii="Arial" w:hAnsi="Arial" w:cs="Arial"/>
        </w:rPr>
        <w:t xml:space="preserve">Graphique 6 </w:t>
      </w:r>
      <w:r w:rsidRPr="009B1AD1">
        <w:rPr>
          <w:rFonts w:ascii="Arial" w:hAnsi="Arial" w:cs="Arial"/>
        </w:rPr>
        <w:t>–</w:t>
      </w:r>
      <w:r>
        <w:rPr>
          <w:rFonts w:ascii="Arial" w:hAnsi="Arial" w:cs="Arial"/>
        </w:rPr>
        <w:t xml:space="preserve"> </w:t>
      </w:r>
      <w:r w:rsidRPr="00234B32">
        <w:rPr>
          <w:rFonts w:ascii="Arial" w:hAnsi="Arial" w:cs="Arial"/>
          <w:b/>
        </w:rPr>
        <w:t>Niveaux d’emploi salarié et intérimaire dans le bâtiment</w:t>
      </w:r>
    </w:p>
    <w:p w14:paraId="4AA81A0F" w14:textId="77777777" w:rsidR="00D075AB" w:rsidRDefault="00D075AB" w:rsidP="00D075AB">
      <w:pPr>
        <w:spacing w:after="0" w:line="240" w:lineRule="auto"/>
        <w:jc w:val="center"/>
        <w:rPr>
          <w:rFonts w:ascii="Arial" w:hAnsi="Arial" w:cs="Arial"/>
        </w:rPr>
      </w:pPr>
      <w:r w:rsidRPr="00EC58EC">
        <w:rPr>
          <w:rFonts w:ascii="Arial" w:hAnsi="Arial" w:cs="Arial"/>
          <w:noProof/>
          <w:lang w:eastAsia="fr-FR"/>
        </w:rPr>
        <w:drawing>
          <wp:inline distT="0" distB="0" distL="0" distR="0" wp14:anchorId="4345EC1A" wp14:editId="6C7F6853">
            <wp:extent cx="5760720" cy="305138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p>
    <w:p w14:paraId="2DFC8957" w14:textId="77777777" w:rsidR="00D075AB" w:rsidRPr="00197C43" w:rsidRDefault="00D075AB" w:rsidP="00D075AB">
      <w:pPr>
        <w:spacing w:after="0" w:line="360" w:lineRule="auto"/>
        <w:jc w:val="center"/>
        <w:rPr>
          <w:rFonts w:ascii="Arial" w:hAnsi="Arial" w:cs="Arial"/>
          <w:i/>
          <w:sz w:val="20"/>
          <w:szCs w:val="20"/>
        </w:rPr>
      </w:pPr>
      <w:r>
        <w:rPr>
          <w:rFonts w:ascii="Arial" w:hAnsi="Arial" w:cs="Arial"/>
          <w:i/>
          <w:sz w:val="20"/>
          <w:szCs w:val="20"/>
        </w:rPr>
        <w:t>Source : FFB d’après Ministère du T</w:t>
      </w:r>
      <w:r w:rsidRPr="00197C43">
        <w:rPr>
          <w:rFonts w:ascii="Arial" w:hAnsi="Arial" w:cs="Arial"/>
          <w:i/>
          <w:sz w:val="20"/>
          <w:szCs w:val="20"/>
        </w:rPr>
        <w:t>ravail, DARES</w:t>
      </w:r>
    </w:p>
    <w:p w14:paraId="4C2DAAEB" w14:textId="77777777" w:rsidR="00D075AB" w:rsidRDefault="00D075AB" w:rsidP="00D075AB">
      <w:pPr>
        <w:spacing w:after="0" w:line="360" w:lineRule="auto"/>
        <w:jc w:val="both"/>
        <w:rPr>
          <w:rFonts w:ascii="Arial" w:hAnsi="Arial" w:cs="Arial"/>
          <w:color w:val="FF0000"/>
        </w:rPr>
      </w:pPr>
    </w:p>
    <w:p w14:paraId="0F02CAD2" w14:textId="77777777" w:rsidR="00D075AB" w:rsidRDefault="00D075AB" w:rsidP="00D075AB">
      <w:pPr>
        <w:spacing w:after="0" w:line="360" w:lineRule="auto"/>
        <w:jc w:val="center"/>
        <w:rPr>
          <w:rFonts w:ascii="Arial" w:hAnsi="Arial" w:cs="Arial"/>
        </w:rPr>
      </w:pPr>
      <w:r>
        <w:rPr>
          <w:rFonts w:ascii="Arial" w:hAnsi="Arial" w:cs="Arial"/>
          <w:i/>
        </w:rPr>
        <w:t>G</w:t>
      </w:r>
      <w:r>
        <w:rPr>
          <w:rFonts w:ascii="Arial" w:hAnsi="Arial" w:cs="Arial"/>
        </w:rPr>
        <w:t>raphique 7</w:t>
      </w:r>
      <w:r w:rsidRPr="00165A21">
        <w:rPr>
          <w:rFonts w:ascii="Arial" w:hAnsi="Arial" w:cs="Arial"/>
          <w:b/>
        </w:rPr>
        <w:t xml:space="preserve"> </w:t>
      </w:r>
      <w:r w:rsidRPr="009B1AD1">
        <w:rPr>
          <w:rFonts w:ascii="Arial" w:hAnsi="Arial" w:cs="Arial"/>
        </w:rPr>
        <w:t>–</w:t>
      </w:r>
      <w:r>
        <w:rPr>
          <w:rFonts w:ascii="Arial" w:hAnsi="Arial" w:cs="Arial"/>
        </w:rPr>
        <w:t xml:space="preserve"> </w:t>
      </w:r>
      <w:r w:rsidRPr="008A5C17">
        <w:rPr>
          <w:rFonts w:ascii="Arial" w:hAnsi="Arial" w:cs="Arial"/>
          <w:b/>
        </w:rPr>
        <w:t>Part des</w:t>
      </w:r>
      <w:r>
        <w:rPr>
          <w:rFonts w:ascii="Arial" w:hAnsi="Arial" w:cs="Arial"/>
        </w:rPr>
        <w:t xml:space="preserve"> </w:t>
      </w:r>
      <w:r>
        <w:rPr>
          <w:rFonts w:ascii="Arial" w:hAnsi="Arial" w:cs="Arial"/>
          <w:b/>
        </w:rPr>
        <w:t xml:space="preserve">entreprises déclarant des difficultés de recrutement </w:t>
      </w:r>
      <w:r>
        <w:rPr>
          <w:rFonts w:ascii="Arial" w:hAnsi="Arial" w:cs="Arial"/>
          <w:b/>
        </w:rPr>
        <w:br/>
        <w:t>dans le bâtiment</w:t>
      </w:r>
    </w:p>
    <w:p w14:paraId="792B9EC5" w14:textId="77777777" w:rsidR="00D075AB" w:rsidRDefault="00D075AB" w:rsidP="00D075AB">
      <w:pPr>
        <w:spacing w:after="0" w:line="240" w:lineRule="auto"/>
        <w:jc w:val="center"/>
        <w:rPr>
          <w:rFonts w:ascii="Arial" w:hAnsi="Arial" w:cs="Arial"/>
        </w:rPr>
      </w:pPr>
      <w:r w:rsidRPr="00B30B49">
        <w:rPr>
          <w:rFonts w:ascii="Arial" w:hAnsi="Arial" w:cs="Arial"/>
          <w:noProof/>
          <w:lang w:eastAsia="fr-FR"/>
        </w:rPr>
        <w:drawing>
          <wp:inline distT="0" distB="0" distL="0" distR="0" wp14:anchorId="6ED231E9" wp14:editId="10D197EE">
            <wp:extent cx="5760720" cy="3060383"/>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14:paraId="1976EC85" w14:textId="77777777" w:rsidR="00D075AB" w:rsidRPr="000965EA" w:rsidRDefault="00D075AB" w:rsidP="00D075AB">
      <w:pPr>
        <w:spacing w:after="0" w:line="240" w:lineRule="auto"/>
        <w:jc w:val="center"/>
        <w:rPr>
          <w:rFonts w:ascii="Arial" w:hAnsi="Arial" w:cs="Arial"/>
          <w:i/>
          <w:sz w:val="20"/>
          <w:szCs w:val="20"/>
        </w:rPr>
      </w:pPr>
      <w:r w:rsidRPr="000965EA">
        <w:rPr>
          <w:rFonts w:ascii="Arial" w:hAnsi="Arial" w:cs="Arial"/>
          <w:i/>
          <w:sz w:val="20"/>
          <w:szCs w:val="20"/>
        </w:rPr>
        <w:t>Source : Insee, enquête mensuelle de conjoncture dans le bâtiment et enquête trimestrielle de conjoncture dans l’artisanat du bâtiment</w:t>
      </w:r>
    </w:p>
    <w:p w14:paraId="025C7506" w14:textId="77777777" w:rsidR="00D075AB" w:rsidRDefault="00D075AB" w:rsidP="00D075AB">
      <w:pPr>
        <w:rPr>
          <w:rFonts w:ascii="Arial" w:hAnsi="Arial" w:cs="Arial"/>
          <w:i/>
        </w:rPr>
      </w:pPr>
    </w:p>
    <w:p w14:paraId="30021E54" w14:textId="77777777" w:rsidR="00D075AB" w:rsidRDefault="00D075AB" w:rsidP="00D075AB">
      <w:pPr>
        <w:rPr>
          <w:rFonts w:ascii="Arial" w:hAnsi="Arial" w:cs="Arial"/>
          <w:i/>
        </w:rPr>
      </w:pPr>
      <w:r>
        <w:rPr>
          <w:rFonts w:ascii="Arial" w:hAnsi="Arial" w:cs="Arial"/>
          <w:i/>
        </w:rPr>
        <w:br w:type="page"/>
      </w:r>
    </w:p>
    <w:p w14:paraId="5C524A5E" w14:textId="77777777" w:rsidR="00D075AB" w:rsidRPr="00CC7349" w:rsidRDefault="00D075AB" w:rsidP="00D075AB">
      <w:pPr>
        <w:rPr>
          <w:rFonts w:ascii="Arial" w:hAnsi="Arial" w:cs="Arial"/>
          <w:i/>
        </w:rPr>
      </w:pPr>
      <w:r w:rsidRPr="00CC7349">
        <w:rPr>
          <w:rFonts w:ascii="Arial" w:hAnsi="Arial" w:cs="Arial"/>
          <w:i/>
        </w:rPr>
        <w:lastRenderedPageBreak/>
        <w:t>1.3.2 La démographie des entreprises</w:t>
      </w:r>
    </w:p>
    <w:p w14:paraId="5BFBDE6D" w14:textId="77777777" w:rsidR="00D075AB" w:rsidRDefault="00D075AB" w:rsidP="00D075AB">
      <w:pPr>
        <w:spacing w:after="0" w:line="360" w:lineRule="auto"/>
        <w:jc w:val="both"/>
        <w:rPr>
          <w:rFonts w:ascii="Arial" w:hAnsi="Arial" w:cs="Arial"/>
        </w:rPr>
      </w:pPr>
    </w:p>
    <w:p w14:paraId="6890D31D" w14:textId="15AB49CC" w:rsidR="00D075AB" w:rsidRDefault="00D075AB" w:rsidP="00D075AB">
      <w:pPr>
        <w:spacing w:after="0" w:line="360" w:lineRule="auto"/>
        <w:jc w:val="both"/>
        <w:rPr>
          <w:rFonts w:ascii="Arial" w:hAnsi="Arial" w:cs="Arial"/>
        </w:rPr>
      </w:pPr>
      <w:r>
        <w:rPr>
          <w:rFonts w:ascii="Arial" w:hAnsi="Arial" w:cs="Arial"/>
        </w:rPr>
        <w:t>L</w:t>
      </w:r>
      <w:r w:rsidR="005D208A">
        <w:rPr>
          <w:rFonts w:ascii="Arial" w:hAnsi="Arial" w:cs="Arial"/>
        </w:rPr>
        <w:t xml:space="preserve">es créations hors </w:t>
      </w:r>
      <w:r w:rsidRPr="006A0045">
        <w:rPr>
          <w:rFonts w:ascii="Arial" w:hAnsi="Arial" w:cs="Arial"/>
        </w:rPr>
        <w:t>micro-entrepreneurs restent très bien orientées dans la construction. Elles s’affichent en progression d’environ 1</w:t>
      </w:r>
      <w:r w:rsidR="005D208A">
        <w:rPr>
          <w:rFonts w:ascii="Arial" w:hAnsi="Arial" w:cs="Arial"/>
        </w:rPr>
        <w:t>6</w:t>
      </w:r>
      <w:r w:rsidR="004D5305">
        <w:rPr>
          <w:rFonts w:ascii="Arial" w:hAnsi="Arial" w:cs="Arial"/>
        </w:rPr>
        <w:t> </w:t>
      </w:r>
      <w:r w:rsidRPr="006A0045">
        <w:rPr>
          <w:rFonts w:ascii="Arial" w:hAnsi="Arial" w:cs="Arial"/>
        </w:rPr>
        <w:t xml:space="preserve">% en glissement annuel sur </w:t>
      </w:r>
      <w:r>
        <w:rPr>
          <w:rFonts w:ascii="Arial" w:hAnsi="Arial" w:cs="Arial"/>
        </w:rPr>
        <w:t xml:space="preserve">dix </w:t>
      </w:r>
      <w:r w:rsidRPr="006A0045">
        <w:rPr>
          <w:rFonts w:ascii="Arial" w:hAnsi="Arial" w:cs="Arial"/>
        </w:rPr>
        <w:t xml:space="preserve">mois à fin </w:t>
      </w:r>
      <w:r>
        <w:rPr>
          <w:rFonts w:ascii="Arial" w:hAnsi="Arial" w:cs="Arial"/>
        </w:rPr>
        <w:t>octobre 2019 (cf. graphique 8)</w:t>
      </w:r>
      <w:r w:rsidRPr="006A0045">
        <w:rPr>
          <w:rFonts w:ascii="Arial" w:hAnsi="Arial" w:cs="Arial"/>
        </w:rPr>
        <w:t xml:space="preserve">. </w:t>
      </w:r>
    </w:p>
    <w:p w14:paraId="16FFDF5F" w14:textId="02EBEBE4" w:rsidR="00D075AB" w:rsidRDefault="00D075AB" w:rsidP="00D075AB">
      <w:pPr>
        <w:spacing w:after="0" w:line="360" w:lineRule="auto"/>
        <w:jc w:val="both"/>
        <w:rPr>
          <w:rFonts w:ascii="Arial" w:hAnsi="Arial" w:cs="Arial"/>
        </w:rPr>
      </w:pPr>
      <w:r w:rsidRPr="006A0045">
        <w:rPr>
          <w:rFonts w:ascii="Arial" w:hAnsi="Arial" w:cs="Arial"/>
        </w:rPr>
        <w:t xml:space="preserve">Quant aux défaillances, </w:t>
      </w:r>
      <w:r>
        <w:rPr>
          <w:rFonts w:ascii="Arial" w:hAnsi="Arial" w:cs="Arial"/>
        </w:rPr>
        <w:t>elles reculent de 5,6 </w:t>
      </w:r>
      <w:r w:rsidRPr="006A0045">
        <w:rPr>
          <w:rFonts w:ascii="Arial" w:hAnsi="Arial" w:cs="Arial"/>
        </w:rPr>
        <w:t>% sur les trois premiers trimestres 2019 par rapport à la même période un an auparavant.</w:t>
      </w:r>
      <w:r>
        <w:rPr>
          <w:rFonts w:ascii="Arial" w:hAnsi="Arial" w:cs="Arial"/>
        </w:rPr>
        <w:t xml:space="preserve"> Plus précisément, </w:t>
      </w:r>
      <w:r w:rsidR="004D5305">
        <w:rPr>
          <w:rFonts w:ascii="Arial" w:hAnsi="Arial" w:cs="Arial"/>
        </w:rPr>
        <w:t xml:space="preserve">on note une baisse rapide </w:t>
      </w:r>
      <w:r>
        <w:rPr>
          <w:rFonts w:ascii="Arial" w:hAnsi="Arial" w:cs="Arial"/>
        </w:rPr>
        <w:t>dans le second œuvre, soit -7,0 % en glissement annuel sur neuf mois à fin septembre 2019</w:t>
      </w:r>
      <w:r w:rsidR="004D5305">
        <w:rPr>
          <w:rFonts w:ascii="Arial" w:hAnsi="Arial" w:cs="Arial"/>
        </w:rPr>
        <w:t>. L</w:t>
      </w:r>
      <w:r>
        <w:rPr>
          <w:rFonts w:ascii="Arial" w:hAnsi="Arial" w:cs="Arial"/>
        </w:rPr>
        <w:t xml:space="preserve">e repli s’avère </w:t>
      </w:r>
      <w:r w:rsidR="004D5305">
        <w:rPr>
          <w:rFonts w:ascii="Arial" w:hAnsi="Arial" w:cs="Arial"/>
        </w:rPr>
        <w:t xml:space="preserve">plus </w:t>
      </w:r>
      <w:r>
        <w:rPr>
          <w:rFonts w:ascii="Arial" w:hAnsi="Arial" w:cs="Arial"/>
        </w:rPr>
        <w:t>limité dans le gros œuvre</w:t>
      </w:r>
      <w:r w:rsidR="004D5305">
        <w:rPr>
          <w:rFonts w:ascii="Arial" w:hAnsi="Arial" w:cs="Arial"/>
        </w:rPr>
        <w:t>, avec -1,6 % du fait d’une vive progression des défaillances des très petits constructeurs de maisons individuelles (+35,8 % pour les structures sans aucun salarié)</w:t>
      </w:r>
      <w:r>
        <w:rPr>
          <w:rFonts w:ascii="Arial" w:hAnsi="Arial" w:cs="Arial"/>
        </w:rPr>
        <w:t>. De plus, par taille d’entreprise, si les entreprises de 1 à 49 salariés voient leurs défaillances reculer, ce n’est ni le cas des entités sans salarié (+12,6 %, en glissement annuel sur neuf mois à fin septembre 2019), ni des 50 salariés et plus (+27,8 %). Pour ces dernières, il convient toutefois de signaler qu’il s’agit d’un simple retour à un niveau proche de la moyenne observée avant 2016 et que ce niveau, de 9 entreprises en moyenne chaque trimestre, est à rapprocher d’un stock d’environ 1 500 structures.</w:t>
      </w:r>
    </w:p>
    <w:p w14:paraId="7128FF33" w14:textId="77777777" w:rsidR="00D075AB" w:rsidRDefault="00D075AB" w:rsidP="00D075AB">
      <w:pPr>
        <w:spacing w:after="0" w:line="360" w:lineRule="auto"/>
        <w:jc w:val="both"/>
        <w:rPr>
          <w:rFonts w:ascii="Arial" w:hAnsi="Arial" w:cs="Arial"/>
          <w:color w:val="FF0000"/>
        </w:rPr>
      </w:pPr>
    </w:p>
    <w:p w14:paraId="4CD33080" w14:textId="77777777" w:rsidR="00D075AB" w:rsidRDefault="00D075AB" w:rsidP="00D075AB">
      <w:pPr>
        <w:spacing w:after="0" w:line="360" w:lineRule="auto"/>
        <w:jc w:val="center"/>
        <w:rPr>
          <w:rFonts w:ascii="Arial" w:hAnsi="Arial" w:cs="Arial"/>
        </w:rPr>
      </w:pPr>
      <w:r>
        <w:rPr>
          <w:rFonts w:ascii="Arial" w:hAnsi="Arial" w:cs="Arial"/>
        </w:rPr>
        <w:t xml:space="preserve">Graphique 8 </w:t>
      </w:r>
      <w:r w:rsidRPr="009B1AD1">
        <w:rPr>
          <w:rFonts w:ascii="Arial" w:hAnsi="Arial" w:cs="Arial"/>
        </w:rPr>
        <w:t>–</w:t>
      </w:r>
      <w:r>
        <w:rPr>
          <w:rFonts w:ascii="Arial" w:hAnsi="Arial" w:cs="Arial"/>
        </w:rPr>
        <w:t xml:space="preserve"> </w:t>
      </w:r>
      <w:r>
        <w:rPr>
          <w:rFonts w:ascii="Arial" w:hAnsi="Arial" w:cs="Arial"/>
          <w:b/>
        </w:rPr>
        <w:t>Créations et défaillances dans la construction</w:t>
      </w:r>
    </w:p>
    <w:p w14:paraId="5CF88AC5" w14:textId="77777777" w:rsidR="00D075AB" w:rsidRPr="00C26FE7" w:rsidRDefault="00D075AB" w:rsidP="00D075AB">
      <w:pPr>
        <w:spacing w:after="0" w:line="240" w:lineRule="auto"/>
        <w:jc w:val="center"/>
        <w:rPr>
          <w:rFonts w:ascii="Arial" w:hAnsi="Arial" w:cs="Arial"/>
          <w:sz w:val="20"/>
          <w:szCs w:val="20"/>
        </w:rPr>
      </w:pPr>
      <w:r w:rsidRPr="00B30B49">
        <w:rPr>
          <w:rFonts w:ascii="Arial" w:hAnsi="Arial" w:cs="Arial"/>
          <w:noProof/>
          <w:sz w:val="20"/>
          <w:szCs w:val="20"/>
          <w:lang w:eastAsia="fr-FR"/>
        </w:rPr>
        <w:drawing>
          <wp:inline distT="0" distB="0" distL="0" distR="0" wp14:anchorId="53BE48AC" wp14:editId="45F6C5B3">
            <wp:extent cx="5760720" cy="3060383"/>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14:paraId="45F09377" w14:textId="77777777" w:rsidR="00D075AB" w:rsidRDefault="00D075AB" w:rsidP="00D075AB">
      <w:pPr>
        <w:spacing w:before="30" w:after="0" w:line="240" w:lineRule="auto"/>
        <w:jc w:val="center"/>
        <w:rPr>
          <w:rFonts w:ascii="Arial" w:hAnsi="Arial" w:cs="Arial"/>
          <w:i/>
          <w:sz w:val="20"/>
          <w:szCs w:val="20"/>
        </w:rPr>
      </w:pPr>
      <w:r w:rsidRPr="000447DC">
        <w:rPr>
          <w:rFonts w:ascii="Arial" w:hAnsi="Arial" w:cs="Arial"/>
          <w:i/>
          <w:sz w:val="20"/>
          <w:szCs w:val="20"/>
        </w:rPr>
        <w:t>Source : Insee</w:t>
      </w:r>
      <w:r>
        <w:rPr>
          <w:rFonts w:ascii="Arial" w:hAnsi="Arial" w:cs="Arial"/>
          <w:i/>
          <w:sz w:val="20"/>
          <w:szCs w:val="20"/>
        </w:rPr>
        <w:t> ;</w:t>
      </w:r>
      <w:r w:rsidRPr="000447DC">
        <w:rPr>
          <w:rFonts w:ascii="Arial" w:hAnsi="Arial" w:cs="Arial"/>
          <w:i/>
          <w:sz w:val="20"/>
          <w:szCs w:val="20"/>
        </w:rPr>
        <w:t xml:space="preserve"> Banque de </w:t>
      </w:r>
      <w:r>
        <w:rPr>
          <w:rFonts w:ascii="Arial" w:hAnsi="Arial" w:cs="Arial"/>
          <w:i/>
          <w:sz w:val="20"/>
          <w:szCs w:val="20"/>
        </w:rPr>
        <w:t>France</w:t>
      </w:r>
    </w:p>
    <w:p w14:paraId="39560549" w14:textId="77777777" w:rsidR="00D075AB" w:rsidRDefault="00D075AB" w:rsidP="00D075AB">
      <w:pPr>
        <w:jc w:val="both"/>
        <w:rPr>
          <w:rFonts w:ascii="Arial" w:hAnsi="Arial" w:cs="Arial"/>
        </w:rPr>
      </w:pPr>
    </w:p>
    <w:p w14:paraId="34159F2E" w14:textId="77777777" w:rsidR="00D075AB" w:rsidRPr="00CC7349" w:rsidRDefault="00D075AB" w:rsidP="00D075AB">
      <w:pPr>
        <w:spacing w:after="0" w:line="360" w:lineRule="auto"/>
        <w:jc w:val="both"/>
        <w:rPr>
          <w:rFonts w:ascii="Arial" w:hAnsi="Arial" w:cs="Arial"/>
          <w:i/>
        </w:rPr>
      </w:pPr>
      <w:r w:rsidRPr="00CC7349">
        <w:rPr>
          <w:rFonts w:ascii="Arial" w:hAnsi="Arial" w:cs="Arial"/>
          <w:i/>
        </w:rPr>
        <w:t>1.3.3 La situation financière des entreprises</w:t>
      </w:r>
    </w:p>
    <w:p w14:paraId="3C888380" w14:textId="77777777" w:rsidR="00D075AB" w:rsidRPr="003E40FB" w:rsidRDefault="00D075AB" w:rsidP="00D075AB">
      <w:pPr>
        <w:spacing w:after="0" w:line="360" w:lineRule="auto"/>
        <w:jc w:val="both"/>
        <w:rPr>
          <w:rFonts w:ascii="Arial" w:hAnsi="Arial" w:cs="Arial"/>
        </w:rPr>
      </w:pPr>
    </w:p>
    <w:p w14:paraId="5C298C88" w14:textId="57159603" w:rsidR="00D075AB" w:rsidRPr="00B30B49" w:rsidRDefault="00D075AB" w:rsidP="00D075AB">
      <w:pPr>
        <w:spacing w:after="0" w:line="360" w:lineRule="auto"/>
        <w:jc w:val="both"/>
        <w:rPr>
          <w:rFonts w:ascii="Arial" w:hAnsi="Arial" w:cs="Arial"/>
          <w:color w:val="FF0000"/>
        </w:rPr>
      </w:pPr>
      <w:r w:rsidRPr="00F32282">
        <w:rPr>
          <w:rFonts w:ascii="Arial" w:hAnsi="Arial" w:cs="Arial"/>
        </w:rPr>
        <w:t xml:space="preserve">La situation financière des entreprises de bâtiment peine </w:t>
      </w:r>
      <w:r w:rsidR="004D5305">
        <w:rPr>
          <w:rFonts w:ascii="Arial" w:hAnsi="Arial" w:cs="Arial"/>
        </w:rPr>
        <w:t xml:space="preserve">toujours à </w:t>
      </w:r>
      <w:r>
        <w:rPr>
          <w:rFonts w:ascii="Arial" w:hAnsi="Arial" w:cs="Arial"/>
        </w:rPr>
        <w:t>véritablement</w:t>
      </w:r>
      <w:r w:rsidRPr="00F32282">
        <w:rPr>
          <w:rFonts w:ascii="Arial" w:hAnsi="Arial" w:cs="Arial"/>
        </w:rPr>
        <w:t xml:space="preserve"> à </w:t>
      </w:r>
      <w:r w:rsidR="004D5305">
        <w:rPr>
          <w:rFonts w:ascii="Arial" w:hAnsi="Arial" w:cs="Arial"/>
        </w:rPr>
        <w:t>s’améliorer, malgré quatre années de reprise</w:t>
      </w:r>
      <w:r w:rsidRPr="00F32282">
        <w:rPr>
          <w:rFonts w:ascii="Arial" w:hAnsi="Arial" w:cs="Arial"/>
        </w:rPr>
        <w:t xml:space="preserve">. </w:t>
      </w:r>
      <w:r w:rsidRPr="00B95A49">
        <w:rPr>
          <w:rFonts w:ascii="Arial" w:hAnsi="Arial" w:cs="Arial"/>
        </w:rPr>
        <w:t>De fait, la hausse des prix</w:t>
      </w:r>
      <w:r>
        <w:rPr>
          <w:rFonts w:ascii="Arial" w:hAnsi="Arial" w:cs="Arial"/>
        </w:rPr>
        <w:t xml:space="preserve"> bâtiment</w:t>
      </w:r>
      <w:r w:rsidRPr="00B95A49">
        <w:rPr>
          <w:rFonts w:ascii="Arial" w:hAnsi="Arial" w:cs="Arial"/>
        </w:rPr>
        <w:t xml:space="preserve">, </w:t>
      </w:r>
      <w:r>
        <w:rPr>
          <w:rFonts w:ascii="Arial" w:hAnsi="Arial" w:cs="Arial"/>
        </w:rPr>
        <w:t xml:space="preserve">d’un peu </w:t>
      </w:r>
      <w:r>
        <w:rPr>
          <w:rFonts w:ascii="Arial" w:hAnsi="Arial" w:cs="Arial"/>
        </w:rPr>
        <w:lastRenderedPageBreak/>
        <w:t>plus de</w:t>
      </w:r>
      <w:r w:rsidRPr="00B95A49">
        <w:rPr>
          <w:rFonts w:ascii="Arial" w:hAnsi="Arial" w:cs="Arial"/>
        </w:rPr>
        <w:t xml:space="preserve"> 2 %</w:t>
      </w:r>
      <w:r>
        <w:rPr>
          <w:rFonts w:ascii="Arial" w:hAnsi="Arial" w:cs="Arial"/>
        </w:rPr>
        <w:t xml:space="preserve"> en 2019</w:t>
      </w:r>
      <w:r w:rsidRPr="00B95A49">
        <w:rPr>
          <w:rFonts w:ascii="Arial" w:hAnsi="Arial" w:cs="Arial"/>
        </w:rPr>
        <w:t xml:space="preserve">, ne fait que compenser l’augmentation </w:t>
      </w:r>
      <w:r w:rsidR="004D5305">
        <w:rPr>
          <w:rFonts w:ascii="Arial" w:hAnsi="Arial" w:cs="Arial"/>
        </w:rPr>
        <w:t>de même ampleur</w:t>
      </w:r>
      <w:r w:rsidRPr="00B95A49">
        <w:rPr>
          <w:rFonts w:ascii="Arial" w:hAnsi="Arial" w:cs="Arial"/>
        </w:rPr>
        <w:t xml:space="preserve"> des coûts</w:t>
      </w:r>
      <w:r>
        <w:rPr>
          <w:rFonts w:ascii="Arial" w:hAnsi="Arial" w:cs="Arial"/>
        </w:rPr>
        <w:t xml:space="preserve"> (cf. graphique 9)</w:t>
      </w:r>
      <w:r w:rsidRPr="00B95A49">
        <w:rPr>
          <w:rFonts w:ascii="Arial" w:hAnsi="Arial" w:cs="Arial"/>
        </w:rPr>
        <w:t xml:space="preserve">. </w:t>
      </w:r>
      <w:r>
        <w:rPr>
          <w:rFonts w:ascii="Arial" w:hAnsi="Arial" w:cs="Arial"/>
        </w:rPr>
        <w:t>Cette dernière s’explique par une progression des salaires de plus de 3 %, liée notamment aux difficultés de recrutement déjà mentionnées, alors que les prix des matériaux ralentissent</w:t>
      </w:r>
      <w:r w:rsidR="004D5305">
        <w:rPr>
          <w:rFonts w:ascii="Arial" w:hAnsi="Arial" w:cs="Arial"/>
        </w:rPr>
        <w:t xml:space="preserve"> globalement (ce n’est toutefois pas le cas pour le gros</w:t>
      </w:r>
      <w:r w:rsidR="003631FC">
        <w:rPr>
          <w:rFonts w:ascii="Arial" w:hAnsi="Arial" w:cs="Arial"/>
        </w:rPr>
        <w:t xml:space="preserve"> </w:t>
      </w:r>
      <w:r w:rsidR="004D5305">
        <w:rPr>
          <w:rFonts w:ascii="Arial" w:hAnsi="Arial" w:cs="Arial"/>
        </w:rPr>
        <w:t xml:space="preserve">œuvre, avec </w:t>
      </w:r>
      <w:r w:rsidR="00D44C87">
        <w:rPr>
          <w:rFonts w:ascii="Arial" w:hAnsi="Arial" w:cs="Arial"/>
        </w:rPr>
        <w:t xml:space="preserve">des hausses conséquentes de prix sur le </w:t>
      </w:r>
      <w:r w:rsidR="00C13DB3">
        <w:rPr>
          <w:rFonts w:ascii="Arial" w:hAnsi="Arial" w:cs="Arial"/>
        </w:rPr>
        <w:t>béton prêt à l’emploi</w:t>
      </w:r>
      <w:r w:rsidR="00D44C87">
        <w:rPr>
          <w:rFonts w:ascii="Arial" w:hAnsi="Arial" w:cs="Arial"/>
        </w:rPr>
        <w:t xml:space="preserve"> et le ciment à respectivement </w:t>
      </w:r>
      <w:r w:rsidR="00C13DB3">
        <w:rPr>
          <w:rFonts w:ascii="Arial" w:hAnsi="Arial" w:cs="Arial"/>
        </w:rPr>
        <w:t>+3,6 % et +2,8 %, en glissement annuel sur dix mois à fin octobre 2019</w:t>
      </w:r>
      <w:r w:rsidR="004D5305">
        <w:rPr>
          <w:rFonts w:ascii="Arial" w:hAnsi="Arial" w:cs="Arial"/>
        </w:rPr>
        <w:t>)</w:t>
      </w:r>
      <w:r>
        <w:rPr>
          <w:rFonts w:ascii="Arial" w:hAnsi="Arial" w:cs="Arial"/>
        </w:rPr>
        <w:t>.</w:t>
      </w:r>
    </w:p>
    <w:p w14:paraId="41011EBD" w14:textId="77777777" w:rsidR="00D075AB" w:rsidRDefault="00D075AB" w:rsidP="00D075AB">
      <w:pPr>
        <w:rPr>
          <w:rFonts w:ascii="Arial" w:hAnsi="Arial" w:cs="Arial"/>
        </w:rPr>
      </w:pPr>
    </w:p>
    <w:p w14:paraId="630510A0" w14:textId="77777777" w:rsidR="00D075AB" w:rsidRDefault="00D075AB" w:rsidP="00D075AB">
      <w:pPr>
        <w:spacing w:after="0" w:line="360" w:lineRule="auto"/>
        <w:jc w:val="center"/>
        <w:rPr>
          <w:rFonts w:ascii="Arial" w:hAnsi="Arial" w:cs="Arial"/>
        </w:rPr>
      </w:pPr>
      <w:r>
        <w:rPr>
          <w:rFonts w:ascii="Arial" w:hAnsi="Arial" w:cs="Arial"/>
        </w:rPr>
        <w:t xml:space="preserve">Graphique 9 </w:t>
      </w:r>
      <w:r w:rsidRPr="009B1AD1">
        <w:rPr>
          <w:rFonts w:ascii="Arial" w:hAnsi="Arial" w:cs="Arial"/>
        </w:rPr>
        <w:t>–</w:t>
      </w:r>
      <w:r>
        <w:rPr>
          <w:rFonts w:ascii="Arial" w:hAnsi="Arial" w:cs="Arial"/>
        </w:rPr>
        <w:t xml:space="preserve"> </w:t>
      </w:r>
      <w:r>
        <w:rPr>
          <w:rFonts w:ascii="Arial" w:hAnsi="Arial" w:cs="Arial"/>
          <w:b/>
        </w:rPr>
        <w:t>Prix et coûts dans le bâtiment</w:t>
      </w:r>
    </w:p>
    <w:p w14:paraId="545BAD67" w14:textId="77777777" w:rsidR="00D075AB" w:rsidRPr="00C26FE7" w:rsidRDefault="00D075AB" w:rsidP="00D075AB">
      <w:pPr>
        <w:spacing w:after="0" w:line="240" w:lineRule="auto"/>
        <w:jc w:val="center"/>
        <w:rPr>
          <w:rFonts w:ascii="Arial" w:hAnsi="Arial" w:cs="Arial"/>
          <w:sz w:val="20"/>
          <w:szCs w:val="20"/>
        </w:rPr>
      </w:pPr>
      <w:r w:rsidRPr="00B30B49">
        <w:rPr>
          <w:rFonts w:ascii="Arial" w:hAnsi="Arial" w:cs="Arial"/>
          <w:noProof/>
          <w:sz w:val="20"/>
          <w:szCs w:val="20"/>
          <w:lang w:eastAsia="fr-FR"/>
        </w:rPr>
        <w:drawing>
          <wp:inline distT="0" distB="0" distL="0" distR="0" wp14:anchorId="270B4E5A" wp14:editId="77C9A2DE">
            <wp:extent cx="5760720" cy="304238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42380"/>
                    </a:xfrm>
                    <a:prstGeom prst="rect">
                      <a:avLst/>
                    </a:prstGeom>
                    <a:noFill/>
                    <a:ln>
                      <a:noFill/>
                    </a:ln>
                  </pic:spPr>
                </pic:pic>
              </a:graphicData>
            </a:graphic>
          </wp:inline>
        </w:drawing>
      </w:r>
    </w:p>
    <w:p w14:paraId="5C183C1B" w14:textId="77777777" w:rsidR="00D075AB" w:rsidRDefault="00D075AB" w:rsidP="00D075AB">
      <w:pPr>
        <w:spacing w:before="30" w:after="0" w:line="240" w:lineRule="auto"/>
        <w:jc w:val="center"/>
        <w:rPr>
          <w:rFonts w:ascii="Arial" w:hAnsi="Arial" w:cs="Arial"/>
          <w:i/>
          <w:sz w:val="20"/>
          <w:szCs w:val="20"/>
        </w:rPr>
      </w:pPr>
      <w:r w:rsidRPr="000447DC">
        <w:rPr>
          <w:rFonts w:ascii="Arial" w:hAnsi="Arial" w:cs="Arial"/>
          <w:i/>
          <w:sz w:val="20"/>
          <w:szCs w:val="20"/>
        </w:rPr>
        <w:t>Source : Inse</w:t>
      </w:r>
      <w:r>
        <w:rPr>
          <w:rFonts w:ascii="Arial" w:hAnsi="Arial" w:cs="Arial"/>
          <w:i/>
          <w:sz w:val="20"/>
          <w:szCs w:val="20"/>
        </w:rPr>
        <w:t>e ; FFB</w:t>
      </w:r>
    </w:p>
    <w:p w14:paraId="28C6C308" w14:textId="77777777" w:rsidR="00D075AB" w:rsidRDefault="00D075AB" w:rsidP="00D075AB">
      <w:pPr>
        <w:spacing w:after="0" w:line="360" w:lineRule="auto"/>
        <w:jc w:val="both"/>
        <w:rPr>
          <w:rFonts w:ascii="Arial" w:hAnsi="Arial" w:cs="Arial"/>
        </w:rPr>
      </w:pPr>
    </w:p>
    <w:p w14:paraId="6C34E0F8" w14:textId="313E478D" w:rsidR="00D075AB" w:rsidRDefault="00D075AB" w:rsidP="00D075AB">
      <w:pPr>
        <w:spacing w:after="0" w:line="360" w:lineRule="auto"/>
        <w:jc w:val="both"/>
        <w:rPr>
          <w:rFonts w:ascii="Arial" w:hAnsi="Arial" w:cs="Arial"/>
        </w:rPr>
      </w:pPr>
      <w:r w:rsidRPr="00543F99">
        <w:rPr>
          <w:rFonts w:ascii="Arial" w:hAnsi="Arial" w:cs="Arial"/>
        </w:rPr>
        <w:t xml:space="preserve">En conséquence, </w:t>
      </w:r>
      <w:r>
        <w:rPr>
          <w:rFonts w:ascii="Arial" w:hAnsi="Arial" w:cs="Arial"/>
        </w:rPr>
        <w:t xml:space="preserve">malgré quelques soubresauts à la hausse puis à la baisse </w:t>
      </w:r>
      <w:r w:rsidR="005D208A">
        <w:rPr>
          <w:rFonts w:ascii="Arial" w:hAnsi="Arial" w:cs="Arial"/>
        </w:rPr>
        <w:t xml:space="preserve">respectivement </w:t>
      </w:r>
      <w:proofErr w:type="gramStart"/>
      <w:r>
        <w:rPr>
          <w:rFonts w:ascii="Arial" w:hAnsi="Arial" w:cs="Arial"/>
        </w:rPr>
        <w:t>aux deuxième et troisième trimestre</w:t>
      </w:r>
      <w:proofErr w:type="gramEnd"/>
      <w:r>
        <w:rPr>
          <w:rFonts w:ascii="Arial" w:hAnsi="Arial" w:cs="Arial"/>
        </w:rPr>
        <w:t xml:space="preserve"> 2019, </w:t>
      </w:r>
      <w:r w:rsidRPr="00543F99">
        <w:rPr>
          <w:rFonts w:ascii="Arial" w:hAnsi="Arial" w:cs="Arial"/>
        </w:rPr>
        <w:t xml:space="preserve">les marges </w:t>
      </w:r>
      <w:r>
        <w:rPr>
          <w:rFonts w:ascii="Arial" w:hAnsi="Arial" w:cs="Arial"/>
        </w:rPr>
        <w:t>dans le secteur ne décollent pas (cf. graphique 10)</w:t>
      </w:r>
      <w:r w:rsidRPr="00543F99">
        <w:rPr>
          <w:rFonts w:ascii="Arial" w:hAnsi="Arial" w:cs="Arial"/>
        </w:rPr>
        <w:t>.</w:t>
      </w:r>
      <w:r>
        <w:rPr>
          <w:rFonts w:ascii="Arial" w:hAnsi="Arial" w:cs="Arial"/>
        </w:rPr>
        <w:t xml:space="preserve"> Cette situation s’avère d’autant plus inquiétante que les entreprises ont bénéficié d’une situation favorable en 201</w:t>
      </w:r>
      <w:r w:rsidR="005D208A">
        <w:rPr>
          <w:rFonts w:ascii="Arial" w:hAnsi="Arial" w:cs="Arial"/>
        </w:rPr>
        <w:t>9</w:t>
      </w:r>
      <w:r>
        <w:rPr>
          <w:rFonts w:ascii="Arial" w:hAnsi="Arial" w:cs="Arial"/>
        </w:rPr>
        <w:t>, avec le double versement CICE au titre des salaires de 2018 et la baisse des charges qui l’a remplacé</w:t>
      </w:r>
      <w:r w:rsidR="00005480">
        <w:rPr>
          <w:rFonts w:ascii="Arial" w:hAnsi="Arial" w:cs="Arial"/>
        </w:rPr>
        <w:t>. Cette situation</w:t>
      </w:r>
      <w:r>
        <w:rPr>
          <w:rFonts w:ascii="Arial" w:hAnsi="Arial" w:cs="Arial"/>
        </w:rPr>
        <w:t xml:space="preserve"> ne se reproduira pas en 2020.</w:t>
      </w:r>
    </w:p>
    <w:p w14:paraId="43A78CD8" w14:textId="77777777" w:rsidR="00D075AB" w:rsidRDefault="00D075AB" w:rsidP="00D075AB">
      <w:pPr>
        <w:spacing w:after="0" w:line="360" w:lineRule="auto"/>
        <w:jc w:val="both"/>
        <w:rPr>
          <w:rFonts w:ascii="Arial" w:hAnsi="Arial" w:cs="Arial"/>
        </w:rPr>
      </w:pPr>
    </w:p>
    <w:p w14:paraId="0DD312F6" w14:textId="77777777" w:rsidR="00D075AB" w:rsidRDefault="00D075AB" w:rsidP="00D075AB">
      <w:pPr>
        <w:rPr>
          <w:rFonts w:ascii="Arial" w:hAnsi="Arial" w:cs="Arial"/>
        </w:rPr>
      </w:pPr>
      <w:r>
        <w:rPr>
          <w:rFonts w:ascii="Arial" w:hAnsi="Arial" w:cs="Arial"/>
        </w:rPr>
        <w:br w:type="page"/>
      </w:r>
    </w:p>
    <w:p w14:paraId="758B2EB2" w14:textId="77777777" w:rsidR="00D075AB" w:rsidRPr="000965EA" w:rsidRDefault="00D075AB" w:rsidP="00D075AB">
      <w:pPr>
        <w:spacing w:after="0" w:line="360" w:lineRule="auto"/>
        <w:jc w:val="center"/>
        <w:rPr>
          <w:rFonts w:ascii="Arial" w:hAnsi="Arial" w:cs="Arial"/>
          <w:b/>
        </w:rPr>
      </w:pPr>
      <w:r>
        <w:rPr>
          <w:rFonts w:ascii="Arial" w:hAnsi="Arial" w:cs="Arial"/>
        </w:rPr>
        <w:lastRenderedPageBreak/>
        <w:t xml:space="preserve">Graphique 10 </w:t>
      </w:r>
      <w:r w:rsidRPr="009B1AD1">
        <w:rPr>
          <w:rFonts w:ascii="Arial" w:hAnsi="Arial" w:cs="Arial"/>
        </w:rPr>
        <w:t>–</w:t>
      </w:r>
      <w:r>
        <w:rPr>
          <w:rFonts w:ascii="Arial" w:hAnsi="Arial" w:cs="Arial"/>
        </w:rPr>
        <w:t xml:space="preserve"> </w:t>
      </w:r>
      <w:r>
        <w:rPr>
          <w:rFonts w:ascii="Arial" w:hAnsi="Arial" w:cs="Arial"/>
          <w:b/>
        </w:rPr>
        <w:t xml:space="preserve">Taux de marge </w:t>
      </w:r>
      <w:r w:rsidRPr="00010BAA">
        <w:rPr>
          <w:rFonts w:ascii="Arial" w:hAnsi="Arial" w:cs="Arial"/>
        </w:rPr>
        <w:t>(excédent brut d’exploitation corrigé de la rémunération de l’exploitant / valeur ajoutée)</w:t>
      </w:r>
    </w:p>
    <w:p w14:paraId="778B5FDE" w14:textId="77777777" w:rsidR="00D075AB" w:rsidRDefault="00D075AB" w:rsidP="00D075AB">
      <w:pPr>
        <w:spacing w:after="0" w:line="360" w:lineRule="auto"/>
        <w:jc w:val="center"/>
        <w:rPr>
          <w:rFonts w:ascii="Arial" w:hAnsi="Arial" w:cs="Arial"/>
        </w:rPr>
      </w:pPr>
      <w:r w:rsidRPr="00B30B49">
        <w:rPr>
          <w:rFonts w:ascii="Arial" w:hAnsi="Arial" w:cs="Arial"/>
          <w:noProof/>
          <w:lang w:eastAsia="fr-FR"/>
        </w:rPr>
        <w:drawing>
          <wp:inline distT="0" distB="0" distL="0" distR="0" wp14:anchorId="0D7A0621" wp14:editId="1D49CD9F">
            <wp:extent cx="5760720" cy="305138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p>
    <w:p w14:paraId="38E9B592" w14:textId="77777777" w:rsidR="00D075AB" w:rsidRDefault="00D075AB" w:rsidP="00D075AB">
      <w:pPr>
        <w:spacing w:after="0" w:line="240" w:lineRule="auto"/>
        <w:jc w:val="center"/>
        <w:rPr>
          <w:rFonts w:ascii="Arial" w:hAnsi="Arial" w:cs="Arial"/>
        </w:rPr>
      </w:pPr>
      <w:r>
        <w:rPr>
          <w:rFonts w:ascii="Arial" w:hAnsi="Arial" w:cs="Arial"/>
          <w:i/>
          <w:sz w:val="20"/>
          <w:szCs w:val="20"/>
        </w:rPr>
        <w:t>Estimation : FFB à partir de l’I</w:t>
      </w:r>
      <w:r w:rsidRPr="000965EA">
        <w:rPr>
          <w:rFonts w:ascii="Arial" w:hAnsi="Arial" w:cs="Arial"/>
          <w:i/>
          <w:sz w:val="20"/>
          <w:szCs w:val="20"/>
        </w:rPr>
        <w:t>nsee</w:t>
      </w:r>
    </w:p>
    <w:p w14:paraId="78E7677F" w14:textId="77777777" w:rsidR="00D075AB" w:rsidRDefault="00D075AB" w:rsidP="00D075AB">
      <w:pPr>
        <w:spacing w:after="0" w:line="360" w:lineRule="auto"/>
        <w:jc w:val="both"/>
        <w:rPr>
          <w:rFonts w:ascii="Arial" w:hAnsi="Arial" w:cs="Arial"/>
        </w:rPr>
      </w:pPr>
    </w:p>
    <w:p w14:paraId="607A5B96" w14:textId="77777777" w:rsidR="00D075AB" w:rsidRDefault="00D075AB" w:rsidP="00D075AB">
      <w:pPr>
        <w:spacing w:after="0" w:line="360" w:lineRule="auto"/>
        <w:jc w:val="both"/>
        <w:rPr>
          <w:rFonts w:ascii="Arial" w:hAnsi="Arial" w:cs="Arial"/>
        </w:rPr>
      </w:pPr>
    </w:p>
    <w:p w14:paraId="51186B6C" w14:textId="77777777" w:rsidR="00D075AB" w:rsidRPr="00AE6454" w:rsidRDefault="00D075AB" w:rsidP="00D075AB">
      <w:pPr>
        <w:spacing w:after="0" w:line="360" w:lineRule="auto"/>
        <w:jc w:val="both"/>
        <w:rPr>
          <w:rFonts w:ascii="Arial" w:hAnsi="Arial" w:cs="Arial"/>
          <w:b/>
          <w:sz w:val="28"/>
          <w:szCs w:val="28"/>
          <w:u w:val="single"/>
        </w:rPr>
      </w:pPr>
      <w:r>
        <w:rPr>
          <w:rFonts w:ascii="Arial" w:hAnsi="Arial" w:cs="Arial"/>
          <w:b/>
          <w:sz w:val="28"/>
          <w:szCs w:val="28"/>
          <w:u w:val="single"/>
        </w:rPr>
        <w:t>2</w:t>
      </w:r>
      <w:r w:rsidRPr="00AE6454">
        <w:rPr>
          <w:rFonts w:ascii="Arial" w:hAnsi="Arial" w:cs="Arial"/>
          <w:b/>
          <w:sz w:val="28"/>
          <w:szCs w:val="28"/>
          <w:u w:val="single"/>
        </w:rPr>
        <w:t xml:space="preserve">. </w:t>
      </w:r>
      <w:r>
        <w:rPr>
          <w:rFonts w:ascii="Arial" w:hAnsi="Arial" w:cs="Arial"/>
          <w:b/>
          <w:sz w:val="28"/>
          <w:szCs w:val="28"/>
          <w:u w:val="single"/>
        </w:rPr>
        <w:t>Le contexte macroéconomique et l’environnement institutionnel pour 2020</w:t>
      </w:r>
    </w:p>
    <w:p w14:paraId="30DDF796" w14:textId="77777777" w:rsidR="00D075AB" w:rsidRDefault="00D075AB" w:rsidP="00D075AB">
      <w:pPr>
        <w:spacing w:after="0" w:line="360" w:lineRule="auto"/>
        <w:jc w:val="both"/>
        <w:rPr>
          <w:rFonts w:ascii="Arial" w:hAnsi="Arial" w:cs="Arial"/>
        </w:rPr>
      </w:pPr>
    </w:p>
    <w:p w14:paraId="4E6FF7CE" w14:textId="77777777" w:rsidR="00D075AB" w:rsidRPr="00DC4924" w:rsidRDefault="00D075AB" w:rsidP="00D075AB">
      <w:pPr>
        <w:spacing w:after="0" w:line="360" w:lineRule="auto"/>
        <w:jc w:val="both"/>
        <w:rPr>
          <w:rFonts w:ascii="Arial" w:hAnsi="Arial" w:cs="Arial"/>
          <w:u w:val="single"/>
        </w:rPr>
      </w:pPr>
      <w:r>
        <w:rPr>
          <w:rFonts w:ascii="Arial" w:hAnsi="Arial" w:cs="Arial"/>
          <w:u w:val="single"/>
        </w:rPr>
        <w:t>2.1 Le contexte macroéconomique</w:t>
      </w:r>
    </w:p>
    <w:p w14:paraId="38826A29" w14:textId="77777777" w:rsidR="00D075AB" w:rsidRDefault="00D075AB" w:rsidP="00D075AB">
      <w:pPr>
        <w:spacing w:after="0" w:line="360" w:lineRule="auto"/>
        <w:jc w:val="both"/>
        <w:rPr>
          <w:rFonts w:ascii="Arial" w:hAnsi="Arial" w:cs="Arial"/>
        </w:rPr>
      </w:pPr>
    </w:p>
    <w:p w14:paraId="7E2F75F1" w14:textId="77BA47D1" w:rsidR="00D075AB" w:rsidRDefault="00D075AB" w:rsidP="00D075AB">
      <w:pPr>
        <w:spacing w:after="0" w:line="360" w:lineRule="auto"/>
        <w:jc w:val="both"/>
        <w:rPr>
          <w:rFonts w:ascii="Arial" w:hAnsi="Arial" w:cs="Arial"/>
        </w:rPr>
      </w:pPr>
      <w:r>
        <w:rPr>
          <w:rFonts w:ascii="Arial" w:hAnsi="Arial" w:cs="Arial"/>
        </w:rPr>
        <w:t>En 2020, la croissance économique ralentira légèrement pour s’établir à</w:t>
      </w:r>
      <w:r w:rsidR="00E4216A">
        <w:rPr>
          <w:rFonts w:ascii="Arial" w:hAnsi="Arial" w:cs="Arial"/>
        </w:rPr>
        <w:t xml:space="preserve"> 1</w:t>
      </w:r>
      <w:r>
        <w:rPr>
          <w:rFonts w:ascii="Arial" w:hAnsi="Arial" w:cs="Arial"/>
        </w:rPr>
        <w:t>,2</w:t>
      </w:r>
      <w:r>
        <w:t> %</w:t>
      </w:r>
      <w:r>
        <w:rPr>
          <w:rFonts w:ascii="Arial" w:hAnsi="Arial" w:cs="Arial"/>
        </w:rPr>
        <w:t xml:space="preserve"> en volume (cf. tableau 1). Il s’agira donc de la quatrième année consécutive de décélération de l’économie, après +2,3 % en 2017, +1,7 % en 2018 et +1,4 % en 2019. Toutefois, la croissance française se situera, une fois n’est pas coutume, dans le sillage de celle escomptée pour l’ensemble de la zone euro. </w:t>
      </w:r>
    </w:p>
    <w:p w14:paraId="7DCC9097" w14:textId="77777777" w:rsidR="00D075AB" w:rsidRDefault="00D075AB" w:rsidP="00D075AB">
      <w:pPr>
        <w:spacing w:after="0" w:line="360" w:lineRule="auto"/>
        <w:jc w:val="both"/>
        <w:rPr>
          <w:rFonts w:ascii="Arial" w:hAnsi="Arial" w:cs="Arial"/>
        </w:rPr>
      </w:pPr>
    </w:p>
    <w:p w14:paraId="2BD3DC61" w14:textId="0C3B6CD0" w:rsidR="00D075AB" w:rsidRDefault="00D075AB" w:rsidP="00D075AB">
      <w:pPr>
        <w:spacing w:after="0" w:line="360" w:lineRule="auto"/>
        <w:jc w:val="both"/>
        <w:rPr>
          <w:rFonts w:ascii="Arial" w:hAnsi="Arial" w:cs="Arial"/>
        </w:rPr>
      </w:pPr>
      <w:r>
        <w:rPr>
          <w:rFonts w:ascii="Arial" w:hAnsi="Arial" w:cs="Arial"/>
        </w:rPr>
        <w:t>En détail, les dépenses de consommation des ménages prendr</w:t>
      </w:r>
      <w:r w:rsidR="00005480">
        <w:rPr>
          <w:rFonts w:ascii="Arial" w:hAnsi="Arial" w:cs="Arial"/>
        </w:rPr>
        <w:t>o</w:t>
      </w:r>
      <w:r>
        <w:rPr>
          <w:rFonts w:ascii="Arial" w:hAnsi="Arial" w:cs="Arial"/>
        </w:rPr>
        <w:t>nt petit à petit le relais de l’investissement pour soutenir la croissance. De fait, elles accélèrer</w:t>
      </w:r>
      <w:r w:rsidR="00005480">
        <w:rPr>
          <w:rFonts w:ascii="Arial" w:hAnsi="Arial" w:cs="Arial"/>
        </w:rPr>
        <w:t>o</w:t>
      </w:r>
      <w:r>
        <w:rPr>
          <w:rFonts w:ascii="Arial" w:hAnsi="Arial" w:cs="Arial"/>
        </w:rPr>
        <w:t xml:space="preserve">nt légèrement </w:t>
      </w:r>
      <w:proofErr w:type="gramStart"/>
      <w:r w:rsidRPr="00A94C63">
        <w:rPr>
          <w:rFonts w:ascii="Arial" w:hAnsi="Arial" w:cs="Arial"/>
        </w:rPr>
        <w:t>à</w:t>
      </w:r>
      <w:proofErr w:type="gramEnd"/>
      <w:r w:rsidRPr="00A94C63">
        <w:rPr>
          <w:rFonts w:ascii="Arial" w:hAnsi="Arial" w:cs="Arial"/>
        </w:rPr>
        <w:t xml:space="preserve"> </w:t>
      </w:r>
      <w:r w:rsidR="00005480">
        <w:rPr>
          <w:rFonts w:ascii="Arial" w:hAnsi="Arial" w:cs="Arial"/>
        </w:rPr>
        <w:t>+</w:t>
      </w:r>
      <w:r w:rsidRPr="00A94C63">
        <w:rPr>
          <w:rFonts w:ascii="Arial" w:hAnsi="Arial" w:cs="Arial"/>
        </w:rPr>
        <w:t>1,5 %,</w:t>
      </w:r>
      <w:r>
        <w:rPr>
          <w:rFonts w:ascii="Arial" w:hAnsi="Arial" w:cs="Arial"/>
        </w:rPr>
        <w:t xml:space="preserve"> contre +1,3 % en 2019, sous l’effet de plusieurs facteurs positifs :</w:t>
      </w:r>
    </w:p>
    <w:p w14:paraId="79BA41E3" w14:textId="77777777" w:rsidR="00D075AB" w:rsidRDefault="00D075AB" w:rsidP="00D075AB">
      <w:pPr>
        <w:pStyle w:val="Paragraphedeliste"/>
        <w:numPr>
          <w:ilvl w:val="0"/>
          <w:numId w:val="30"/>
        </w:numPr>
        <w:spacing w:after="0" w:line="360" w:lineRule="auto"/>
        <w:jc w:val="both"/>
        <w:rPr>
          <w:rFonts w:ascii="Arial" w:hAnsi="Arial" w:cs="Arial"/>
        </w:rPr>
      </w:pPr>
      <w:r>
        <w:rPr>
          <w:rFonts w:ascii="Arial" w:hAnsi="Arial" w:cs="Arial"/>
        </w:rPr>
        <w:t>une inflation toujours contenue ;</w:t>
      </w:r>
    </w:p>
    <w:p w14:paraId="4AEBBA9F" w14:textId="77777777" w:rsidR="00005480" w:rsidRDefault="00D075AB" w:rsidP="00D075AB">
      <w:pPr>
        <w:pStyle w:val="Paragraphedeliste"/>
        <w:numPr>
          <w:ilvl w:val="0"/>
          <w:numId w:val="30"/>
        </w:numPr>
        <w:spacing w:after="0" w:line="360" w:lineRule="auto"/>
        <w:jc w:val="both"/>
        <w:rPr>
          <w:rFonts w:ascii="Arial" w:hAnsi="Arial" w:cs="Arial"/>
        </w:rPr>
      </w:pPr>
      <w:r>
        <w:rPr>
          <w:rFonts w:ascii="Arial" w:hAnsi="Arial" w:cs="Arial"/>
        </w:rPr>
        <w:t>les conséquences des mesures de pouvoir d’achat prise</w:t>
      </w:r>
      <w:r w:rsidR="000065EC">
        <w:rPr>
          <w:rFonts w:ascii="Arial" w:hAnsi="Arial" w:cs="Arial"/>
        </w:rPr>
        <w:t>s</w:t>
      </w:r>
      <w:r>
        <w:rPr>
          <w:rFonts w:ascii="Arial" w:hAnsi="Arial" w:cs="Arial"/>
        </w:rPr>
        <w:t xml:space="preserve"> suite à la crise des « gilets jaunes », l’Insee estimant à quatre trimestres le temps habituel de transmission effective à un surplus d’achats</w:t>
      </w:r>
      <w:r w:rsidR="00005480">
        <w:rPr>
          <w:rFonts w:ascii="Arial" w:hAnsi="Arial" w:cs="Arial"/>
        </w:rPr>
        <w:t> ;</w:t>
      </w:r>
    </w:p>
    <w:p w14:paraId="797E9AB2" w14:textId="09654CDA" w:rsidR="00D075AB" w:rsidRDefault="00D075AB" w:rsidP="00D075AB">
      <w:pPr>
        <w:pStyle w:val="Paragraphedeliste"/>
        <w:numPr>
          <w:ilvl w:val="0"/>
          <w:numId w:val="30"/>
        </w:numPr>
        <w:spacing w:after="0" w:line="360" w:lineRule="auto"/>
        <w:jc w:val="both"/>
        <w:rPr>
          <w:rFonts w:ascii="Arial" w:hAnsi="Arial" w:cs="Arial"/>
        </w:rPr>
      </w:pPr>
      <w:r>
        <w:rPr>
          <w:rFonts w:ascii="Arial" w:hAnsi="Arial" w:cs="Arial"/>
        </w:rPr>
        <w:t>la suppression totale de la taxe d’habitation pour 80 % des ménages ;</w:t>
      </w:r>
    </w:p>
    <w:p w14:paraId="09019AF9" w14:textId="0E420A56" w:rsidR="00D075AB" w:rsidRPr="00C46F1F" w:rsidRDefault="00D075AB" w:rsidP="00D075AB">
      <w:pPr>
        <w:pStyle w:val="Paragraphedeliste"/>
        <w:numPr>
          <w:ilvl w:val="0"/>
          <w:numId w:val="30"/>
        </w:numPr>
        <w:spacing w:after="0" w:line="360" w:lineRule="auto"/>
        <w:jc w:val="both"/>
        <w:rPr>
          <w:rFonts w:ascii="Arial" w:hAnsi="Arial" w:cs="Arial"/>
        </w:rPr>
      </w:pPr>
      <w:r>
        <w:rPr>
          <w:rFonts w:ascii="Arial" w:hAnsi="Arial" w:cs="Arial"/>
        </w:rPr>
        <w:lastRenderedPageBreak/>
        <w:t>une petite baisse du taux de chômage de 0,1 point, qui atteindra 8,1 % en moyenne sur l’année 2020.</w:t>
      </w:r>
    </w:p>
    <w:p w14:paraId="1DA3031F" w14:textId="77777777" w:rsidR="00D075AB" w:rsidRDefault="00D075AB" w:rsidP="00D075AB">
      <w:pPr>
        <w:spacing w:after="0" w:line="360" w:lineRule="auto"/>
        <w:jc w:val="both"/>
        <w:rPr>
          <w:rFonts w:ascii="Arial" w:hAnsi="Arial" w:cs="Arial"/>
        </w:rPr>
      </w:pPr>
    </w:p>
    <w:p w14:paraId="6312E548" w14:textId="70544D12" w:rsidR="00D075AB" w:rsidRPr="00DB5C2C" w:rsidRDefault="00D075AB" w:rsidP="00D075AB">
      <w:pPr>
        <w:spacing w:after="0" w:line="360" w:lineRule="auto"/>
        <w:jc w:val="center"/>
        <w:rPr>
          <w:rFonts w:ascii="Arial" w:hAnsi="Arial" w:cs="Arial"/>
          <w:b/>
        </w:rPr>
      </w:pPr>
      <w:r>
        <w:rPr>
          <w:rFonts w:ascii="Arial" w:hAnsi="Arial" w:cs="Arial"/>
        </w:rPr>
        <w:t>Tableau 1</w:t>
      </w:r>
      <w:r w:rsidR="003631FC">
        <w:rPr>
          <w:rFonts w:ascii="Arial" w:hAnsi="Arial" w:cs="Arial"/>
        </w:rPr>
        <w:t xml:space="preserve"> </w:t>
      </w:r>
      <w:r w:rsidR="003631FC" w:rsidRPr="009B1AD1">
        <w:rPr>
          <w:rFonts w:ascii="Arial" w:hAnsi="Arial" w:cs="Arial"/>
        </w:rPr>
        <w:t>–</w:t>
      </w:r>
      <w:r w:rsidR="003631FC">
        <w:rPr>
          <w:rFonts w:ascii="Arial" w:hAnsi="Arial" w:cs="Arial"/>
        </w:rPr>
        <w:t xml:space="preserve"> </w:t>
      </w:r>
      <w:r w:rsidRPr="00A94C63">
        <w:rPr>
          <w:rFonts w:ascii="Arial" w:hAnsi="Arial" w:cs="Arial"/>
          <w:b/>
        </w:rPr>
        <w:t>Le scénario macroéconomique 2020 retenu par la FFB</w:t>
      </w:r>
    </w:p>
    <w:p w14:paraId="66F2E4F4" w14:textId="77777777" w:rsidR="00D075AB" w:rsidRDefault="00D075AB" w:rsidP="00D075AB">
      <w:pPr>
        <w:spacing w:after="0" w:line="360" w:lineRule="auto"/>
        <w:jc w:val="center"/>
        <w:rPr>
          <w:rFonts w:ascii="Arial" w:hAnsi="Arial" w:cs="Arial"/>
        </w:rPr>
      </w:pPr>
      <w:r w:rsidRPr="00BF1512">
        <w:rPr>
          <w:rFonts w:ascii="Arial" w:hAnsi="Arial" w:cs="Arial"/>
          <w:noProof/>
          <w:lang w:eastAsia="fr-FR"/>
        </w:rPr>
        <w:drawing>
          <wp:inline distT="0" distB="0" distL="0" distR="0" wp14:anchorId="336217FE" wp14:editId="553F2CD6">
            <wp:extent cx="5534025" cy="2609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2609850"/>
                    </a:xfrm>
                    <a:prstGeom prst="rect">
                      <a:avLst/>
                    </a:prstGeom>
                    <a:noFill/>
                    <a:ln>
                      <a:noFill/>
                    </a:ln>
                  </pic:spPr>
                </pic:pic>
              </a:graphicData>
            </a:graphic>
          </wp:inline>
        </w:drawing>
      </w:r>
    </w:p>
    <w:p w14:paraId="0F4650C4" w14:textId="77777777" w:rsidR="00D075AB" w:rsidRPr="00010236" w:rsidRDefault="00D075AB" w:rsidP="00D075AB">
      <w:pPr>
        <w:spacing w:after="0" w:line="360" w:lineRule="auto"/>
        <w:jc w:val="center"/>
        <w:rPr>
          <w:rFonts w:ascii="Arial" w:hAnsi="Arial" w:cs="Arial"/>
          <w:i/>
          <w:sz w:val="20"/>
          <w:szCs w:val="20"/>
        </w:rPr>
      </w:pPr>
      <w:r w:rsidRPr="00010236">
        <w:rPr>
          <w:rFonts w:ascii="Arial" w:hAnsi="Arial" w:cs="Arial"/>
          <w:i/>
          <w:sz w:val="20"/>
          <w:szCs w:val="20"/>
        </w:rPr>
        <w:t>Source : FFB</w:t>
      </w:r>
    </w:p>
    <w:p w14:paraId="179526CD" w14:textId="77777777" w:rsidR="00D075AB" w:rsidRDefault="00D075AB" w:rsidP="00D075AB">
      <w:pPr>
        <w:spacing w:after="0" w:line="360" w:lineRule="auto"/>
        <w:jc w:val="both"/>
        <w:rPr>
          <w:rFonts w:ascii="Arial" w:hAnsi="Arial" w:cs="Arial"/>
          <w:highlight w:val="yellow"/>
        </w:rPr>
      </w:pPr>
    </w:p>
    <w:p w14:paraId="4FFE57C5" w14:textId="2CEBF5B0" w:rsidR="00D075AB" w:rsidRDefault="00D075AB" w:rsidP="00D075AB">
      <w:pPr>
        <w:spacing w:after="0" w:line="360" w:lineRule="auto"/>
        <w:jc w:val="both"/>
        <w:rPr>
          <w:rFonts w:ascii="Arial" w:hAnsi="Arial" w:cs="Arial"/>
        </w:rPr>
      </w:pPr>
      <w:r w:rsidRPr="00A94C63">
        <w:rPr>
          <w:rFonts w:ascii="Arial" w:hAnsi="Arial" w:cs="Arial"/>
        </w:rPr>
        <w:t xml:space="preserve">Cette petite accélération de la consommation des ménages </w:t>
      </w:r>
      <w:r w:rsidR="00005480" w:rsidRPr="00A94C63">
        <w:rPr>
          <w:rFonts w:ascii="Arial" w:hAnsi="Arial" w:cs="Arial"/>
        </w:rPr>
        <w:t>bénéficier</w:t>
      </w:r>
      <w:r w:rsidR="00005480">
        <w:rPr>
          <w:rFonts w:ascii="Arial" w:hAnsi="Arial" w:cs="Arial"/>
        </w:rPr>
        <w:t>a</w:t>
      </w:r>
      <w:r w:rsidRPr="00A94C63">
        <w:rPr>
          <w:rFonts w:ascii="Arial" w:hAnsi="Arial" w:cs="Arial"/>
        </w:rPr>
        <w:t xml:space="preserve">, en premier lieu, </w:t>
      </w:r>
      <w:r w:rsidR="00005480">
        <w:rPr>
          <w:rFonts w:ascii="Arial" w:hAnsi="Arial" w:cs="Arial"/>
        </w:rPr>
        <w:t>aux</w:t>
      </w:r>
      <w:r w:rsidRPr="00A94C63">
        <w:rPr>
          <w:rFonts w:ascii="Arial" w:hAnsi="Arial" w:cs="Arial"/>
        </w:rPr>
        <w:t xml:space="preserve"> dépenses </w:t>
      </w:r>
      <w:r w:rsidR="00005480">
        <w:rPr>
          <w:rFonts w:ascii="Arial" w:hAnsi="Arial" w:cs="Arial"/>
        </w:rPr>
        <w:t>dites « compressibles » en période difficile</w:t>
      </w:r>
      <w:r w:rsidRPr="00A94C63">
        <w:rPr>
          <w:rFonts w:ascii="Arial" w:hAnsi="Arial" w:cs="Arial"/>
        </w:rPr>
        <w:t>, comme l’a souligné l’Insee dans sa note de conjoncture de juin</w:t>
      </w:r>
      <w:r w:rsidRPr="00A94C63">
        <w:rPr>
          <w:rStyle w:val="Appelnotedebasdep"/>
          <w:rFonts w:ascii="Arial" w:hAnsi="Arial" w:cs="Arial"/>
        </w:rPr>
        <w:footnoteReference w:id="2"/>
      </w:r>
      <w:r w:rsidRPr="00A94C63">
        <w:rPr>
          <w:rFonts w:ascii="Arial" w:hAnsi="Arial" w:cs="Arial"/>
        </w:rPr>
        <w:t> : « À très court terme, les fortes variations de la consommation sont dues aux dépenses les plus sensibles au revenu : c’est-à-dire les dépenses compressibles</w:t>
      </w:r>
      <w:r w:rsidRPr="00A94C63">
        <w:rPr>
          <w:rStyle w:val="Appelnotedebasdep"/>
          <w:rFonts w:ascii="Arial" w:hAnsi="Arial" w:cs="Arial"/>
        </w:rPr>
        <w:footnoteReference w:id="3"/>
      </w:r>
      <w:r w:rsidRPr="00A94C63">
        <w:rPr>
          <w:rFonts w:ascii="Arial" w:hAnsi="Arial" w:cs="Arial"/>
        </w:rPr>
        <w:t xml:space="preserve"> (…) qui contribuent pour 65 % à la variabilité des dépenses totales de consommation tandis que les dépenses pré-engagées hors énergie y participent à hauteur de 2,3 % seulement. (..) Les dépenses compressibles sont les plus soumises à des variations de pouvoir d’achat et de prix relatifs ». Par ailleurs, l’Insee précise que le délai de transmission se réduit à trois trimestres pour les dépenses compressibles</w:t>
      </w:r>
      <w:r w:rsidR="00005480">
        <w:rPr>
          <w:rFonts w:ascii="Arial" w:hAnsi="Arial" w:cs="Arial"/>
        </w:rPr>
        <w:t>, au sein desquelles se range l’entretien courant du logement</w:t>
      </w:r>
      <w:r w:rsidRPr="00A94C63">
        <w:rPr>
          <w:rFonts w:ascii="Arial" w:hAnsi="Arial" w:cs="Arial"/>
        </w:rPr>
        <w:t>.</w:t>
      </w:r>
    </w:p>
    <w:p w14:paraId="6B79FD7A" w14:textId="3DFD3C66" w:rsidR="00D075AB" w:rsidRDefault="00D075AB" w:rsidP="00D075AB">
      <w:pPr>
        <w:spacing w:after="0" w:line="360" w:lineRule="auto"/>
        <w:jc w:val="both"/>
        <w:rPr>
          <w:rFonts w:ascii="Arial" w:hAnsi="Arial" w:cs="Arial"/>
        </w:rPr>
      </w:pPr>
      <w:r>
        <w:rPr>
          <w:rFonts w:ascii="Arial" w:hAnsi="Arial" w:cs="Arial"/>
        </w:rPr>
        <w:t>À noter que le raffermissement des dépenses de consommation ne conduira toutefois pas à une baisse du taux d’épargne des ménages, qui se maintiendra à un niveau relativement élevé de 15 %.</w:t>
      </w:r>
    </w:p>
    <w:p w14:paraId="41FE1427" w14:textId="77777777" w:rsidR="00D075AB" w:rsidRDefault="00D075AB" w:rsidP="00D075AB">
      <w:pPr>
        <w:spacing w:after="0" w:line="360" w:lineRule="auto"/>
        <w:jc w:val="both"/>
        <w:rPr>
          <w:rFonts w:ascii="Arial" w:hAnsi="Arial" w:cs="Arial"/>
        </w:rPr>
      </w:pPr>
    </w:p>
    <w:p w14:paraId="4B57E61F" w14:textId="3702ECCC" w:rsidR="00D075AB" w:rsidRDefault="00D075AB" w:rsidP="00D075AB">
      <w:pPr>
        <w:spacing w:after="0" w:line="360" w:lineRule="auto"/>
        <w:jc w:val="both"/>
        <w:rPr>
          <w:rFonts w:ascii="Arial" w:hAnsi="Arial" w:cs="Arial"/>
        </w:rPr>
      </w:pPr>
      <w:r>
        <w:rPr>
          <w:rFonts w:ascii="Arial" w:hAnsi="Arial" w:cs="Arial"/>
        </w:rPr>
        <w:lastRenderedPageBreak/>
        <w:t xml:space="preserve">S’agissant de l’investissement, qui tirait nettement le PIB à la hausse depuis 2016, il ralentirait en 2020, </w:t>
      </w:r>
      <w:proofErr w:type="gramStart"/>
      <w:r>
        <w:rPr>
          <w:rFonts w:ascii="Arial" w:hAnsi="Arial" w:cs="Arial"/>
        </w:rPr>
        <w:t>à</w:t>
      </w:r>
      <w:proofErr w:type="gramEnd"/>
      <w:r>
        <w:rPr>
          <w:rFonts w:ascii="Arial" w:hAnsi="Arial" w:cs="Arial"/>
        </w:rPr>
        <w:t xml:space="preserve"> +1,7 % contre +2,9 % en 2019. Tous les acteurs participeraient à cette décélération : les ménages, de manière contenue, </w:t>
      </w:r>
      <w:proofErr w:type="gramStart"/>
      <w:r>
        <w:rPr>
          <w:rFonts w:ascii="Arial" w:hAnsi="Arial" w:cs="Arial"/>
        </w:rPr>
        <w:t>à</w:t>
      </w:r>
      <w:proofErr w:type="gramEnd"/>
      <w:r>
        <w:rPr>
          <w:rFonts w:ascii="Arial" w:hAnsi="Arial" w:cs="Arial"/>
        </w:rPr>
        <w:t xml:space="preserve"> +0,6 %</w:t>
      </w:r>
      <w:r w:rsidR="00005480">
        <w:rPr>
          <w:rFonts w:ascii="Arial" w:hAnsi="Arial" w:cs="Arial"/>
        </w:rPr>
        <w:t xml:space="preserve"> contre 1,2 %</w:t>
      </w:r>
      <w:r>
        <w:rPr>
          <w:rFonts w:ascii="Arial" w:hAnsi="Arial" w:cs="Arial"/>
        </w:rPr>
        <w:t xml:space="preserve">, mais surtout les entreprises et davantage encore l’État et les collectivités territoriales à respectivement +2,2 % et +1,3 % en 2020 contre +3,5 % pour les deux en 2019. Pour les collectivités, il faut y voir </w:t>
      </w:r>
      <w:r w:rsidR="00005480">
        <w:rPr>
          <w:rFonts w:ascii="Arial" w:hAnsi="Arial" w:cs="Arial"/>
        </w:rPr>
        <w:t>le</w:t>
      </w:r>
      <w:r>
        <w:rPr>
          <w:rFonts w:ascii="Arial" w:hAnsi="Arial" w:cs="Arial"/>
        </w:rPr>
        <w:t xml:space="preserve"> gel des projets habituellement observé les années d’élections municipales. Concernant les entreprises, le ralentissement s’avèrerait singulièrement marqué pour le secteur industriel, les chefs d’entreprise interrogés par l’Insee en octobre 2019 anticipant une quasi-stabilisation de leurs investissements en valeur pour 2020, après deux année</w:t>
      </w:r>
      <w:r w:rsidR="000065EC">
        <w:rPr>
          <w:rFonts w:ascii="Arial" w:hAnsi="Arial" w:cs="Arial"/>
        </w:rPr>
        <w:t>s</w:t>
      </w:r>
      <w:r>
        <w:rPr>
          <w:rFonts w:ascii="Arial" w:hAnsi="Arial" w:cs="Arial"/>
        </w:rPr>
        <w:t xml:space="preserve"> particulièrement dynamique</w:t>
      </w:r>
      <w:r w:rsidR="000065EC">
        <w:rPr>
          <w:rFonts w:ascii="Arial" w:hAnsi="Arial" w:cs="Arial"/>
        </w:rPr>
        <w:t>s</w:t>
      </w:r>
      <w:r>
        <w:rPr>
          <w:rFonts w:ascii="Arial" w:hAnsi="Arial" w:cs="Arial"/>
        </w:rPr>
        <w:t xml:space="preserve"> (cf. graphique 11).</w:t>
      </w:r>
    </w:p>
    <w:p w14:paraId="062417D2" w14:textId="298C4F0B" w:rsidR="00D075AB" w:rsidRDefault="00D075AB" w:rsidP="00D075AB">
      <w:pPr>
        <w:spacing w:after="0" w:line="360" w:lineRule="auto"/>
        <w:jc w:val="both"/>
        <w:rPr>
          <w:rFonts w:ascii="Arial" w:hAnsi="Arial" w:cs="Arial"/>
        </w:rPr>
      </w:pPr>
    </w:p>
    <w:p w14:paraId="575C6FBA" w14:textId="78E7B573" w:rsidR="000065EC" w:rsidRDefault="000065EC" w:rsidP="000065EC">
      <w:pPr>
        <w:spacing w:after="0" w:line="360" w:lineRule="auto"/>
        <w:jc w:val="center"/>
        <w:rPr>
          <w:rFonts w:ascii="Arial" w:hAnsi="Arial" w:cs="Arial"/>
        </w:rPr>
      </w:pPr>
      <w:r>
        <w:rPr>
          <w:rFonts w:ascii="Arial" w:hAnsi="Arial" w:cs="Arial"/>
        </w:rPr>
        <w:t xml:space="preserve">Graphique 11 – </w:t>
      </w:r>
      <w:r w:rsidRPr="008A3C90">
        <w:rPr>
          <w:rFonts w:ascii="Arial" w:hAnsi="Arial" w:cs="Arial"/>
          <w:b/>
        </w:rPr>
        <w:t>Taux de c</w:t>
      </w:r>
      <w:r>
        <w:rPr>
          <w:rFonts w:ascii="Arial" w:hAnsi="Arial" w:cs="Arial"/>
          <w:b/>
        </w:rPr>
        <w:t xml:space="preserve">roissance annuel </w:t>
      </w:r>
      <w:r w:rsidRPr="008A3C90">
        <w:rPr>
          <w:rFonts w:ascii="Arial" w:hAnsi="Arial" w:cs="Arial"/>
          <w:b/>
        </w:rPr>
        <w:t xml:space="preserve">de </w:t>
      </w:r>
      <w:r>
        <w:rPr>
          <w:rFonts w:ascii="Arial" w:hAnsi="Arial" w:cs="Arial"/>
          <w:b/>
        </w:rPr>
        <w:t>l’</w:t>
      </w:r>
      <w:r w:rsidRPr="008A3C90">
        <w:rPr>
          <w:rFonts w:ascii="Arial" w:hAnsi="Arial" w:cs="Arial"/>
          <w:b/>
        </w:rPr>
        <w:t>investissement</w:t>
      </w:r>
      <w:r>
        <w:rPr>
          <w:rFonts w:ascii="Arial" w:hAnsi="Arial" w:cs="Arial"/>
          <w:b/>
        </w:rPr>
        <w:t xml:space="preserve"> </w:t>
      </w:r>
      <w:r w:rsidRPr="008A3C90">
        <w:rPr>
          <w:rFonts w:ascii="Arial" w:hAnsi="Arial" w:cs="Arial"/>
          <w:b/>
        </w:rPr>
        <w:t xml:space="preserve">dans </w:t>
      </w:r>
      <w:r>
        <w:rPr>
          <w:rFonts w:ascii="Arial" w:hAnsi="Arial" w:cs="Arial"/>
          <w:b/>
        </w:rPr>
        <w:t xml:space="preserve">l’ensemble de </w:t>
      </w:r>
      <w:r w:rsidRPr="008A3C90">
        <w:rPr>
          <w:rFonts w:ascii="Arial" w:hAnsi="Arial" w:cs="Arial"/>
          <w:b/>
        </w:rPr>
        <w:t>l’industrie</w:t>
      </w:r>
      <w:r>
        <w:rPr>
          <w:rFonts w:ascii="Arial" w:hAnsi="Arial" w:cs="Arial"/>
        </w:rPr>
        <w:t xml:space="preserve"> (en valeur)</w:t>
      </w:r>
    </w:p>
    <w:p w14:paraId="10372836" w14:textId="77777777" w:rsidR="000065EC" w:rsidRDefault="000065EC" w:rsidP="000065EC">
      <w:pPr>
        <w:spacing w:after="0" w:line="360" w:lineRule="auto"/>
        <w:jc w:val="center"/>
        <w:rPr>
          <w:rFonts w:ascii="Arial" w:hAnsi="Arial" w:cs="Arial"/>
        </w:rPr>
      </w:pPr>
      <w:r w:rsidRPr="006030E7">
        <w:rPr>
          <w:noProof/>
          <w:lang w:eastAsia="fr-FR"/>
        </w:rPr>
        <w:drawing>
          <wp:inline distT="0" distB="0" distL="0" distR="0" wp14:anchorId="549945C0" wp14:editId="1715BCE1">
            <wp:extent cx="5698800" cy="302760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8800" cy="3027600"/>
                    </a:xfrm>
                    <a:prstGeom prst="rect">
                      <a:avLst/>
                    </a:prstGeom>
                    <a:noFill/>
                    <a:ln>
                      <a:noFill/>
                    </a:ln>
                  </pic:spPr>
                </pic:pic>
              </a:graphicData>
            </a:graphic>
          </wp:inline>
        </w:drawing>
      </w:r>
    </w:p>
    <w:p w14:paraId="2F0E59D6" w14:textId="77777777" w:rsidR="000065EC" w:rsidRPr="006030E7" w:rsidRDefault="000065EC" w:rsidP="000065EC">
      <w:pPr>
        <w:spacing w:after="0" w:line="360" w:lineRule="auto"/>
        <w:jc w:val="center"/>
        <w:rPr>
          <w:rFonts w:ascii="Arial" w:hAnsi="Arial" w:cs="Arial"/>
          <w:i/>
          <w:sz w:val="20"/>
        </w:rPr>
      </w:pPr>
      <w:r w:rsidRPr="006030E7">
        <w:rPr>
          <w:rFonts w:ascii="Arial" w:hAnsi="Arial" w:cs="Arial"/>
          <w:i/>
          <w:sz w:val="20"/>
        </w:rPr>
        <w:t>Source : Insee, enquête trimestrielle sur les investissements dans l’industrie</w:t>
      </w:r>
    </w:p>
    <w:p w14:paraId="06C1298C" w14:textId="77777777" w:rsidR="000065EC" w:rsidRDefault="000065EC" w:rsidP="00D075AB">
      <w:pPr>
        <w:spacing w:after="0" w:line="360" w:lineRule="auto"/>
        <w:jc w:val="both"/>
        <w:rPr>
          <w:rFonts w:ascii="Arial" w:hAnsi="Arial" w:cs="Arial"/>
        </w:rPr>
      </w:pPr>
    </w:p>
    <w:p w14:paraId="31B27DA0" w14:textId="47ED1142" w:rsidR="00D075AB" w:rsidRDefault="00D075AB" w:rsidP="00D075AB">
      <w:pPr>
        <w:spacing w:after="0" w:line="360" w:lineRule="auto"/>
        <w:jc w:val="both"/>
        <w:rPr>
          <w:rFonts w:ascii="Arial" w:hAnsi="Arial" w:cs="Arial"/>
        </w:rPr>
      </w:pPr>
      <w:r>
        <w:rPr>
          <w:rFonts w:ascii="Arial" w:hAnsi="Arial" w:cs="Arial"/>
        </w:rPr>
        <w:t>Par ailleurs, la dégradation du commerce international et la persistance de menaces (</w:t>
      </w:r>
      <w:r w:rsidRPr="00DB5C2C">
        <w:rPr>
          <w:rFonts w:ascii="Arial" w:hAnsi="Arial" w:cs="Arial"/>
        </w:rPr>
        <w:t>guerre commerciale entre États-Unis et Chine</w:t>
      </w:r>
      <w:r>
        <w:rPr>
          <w:rFonts w:ascii="Arial" w:hAnsi="Arial" w:cs="Arial"/>
        </w:rPr>
        <w:t xml:space="preserve">, incertitudes sur le </w:t>
      </w:r>
      <w:proofErr w:type="spellStart"/>
      <w:r>
        <w:rPr>
          <w:rFonts w:ascii="Arial" w:hAnsi="Arial" w:cs="Arial"/>
        </w:rPr>
        <w:t>Brexit</w:t>
      </w:r>
      <w:proofErr w:type="spellEnd"/>
      <w:r>
        <w:rPr>
          <w:rFonts w:ascii="Arial" w:hAnsi="Arial" w:cs="Arial"/>
        </w:rPr>
        <w:t>, ralentissement allemand) conduirait à un fléchissement de la contribution nette du commerce extérieur. En effet, sous l’effet d’une demande intérieure toujours soutenue, les importations accélèreraient à +2,</w:t>
      </w:r>
      <w:r w:rsidR="000065EC">
        <w:rPr>
          <w:rFonts w:ascii="Arial" w:hAnsi="Arial" w:cs="Arial"/>
        </w:rPr>
        <w:t>8</w:t>
      </w:r>
      <w:r>
        <w:rPr>
          <w:rFonts w:ascii="Arial" w:hAnsi="Arial" w:cs="Arial"/>
        </w:rPr>
        <w:t> % alors que les exportations, bien que dynamiques, ralentiraient à +2,2 %.</w:t>
      </w:r>
    </w:p>
    <w:p w14:paraId="278A2EA8" w14:textId="77777777" w:rsidR="00D075AB" w:rsidRDefault="00D075AB" w:rsidP="00D075AB">
      <w:pPr>
        <w:spacing w:after="0" w:line="360" w:lineRule="auto"/>
        <w:jc w:val="both"/>
        <w:rPr>
          <w:rFonts w:ascii="Arial" w:hAnsi="Arial" w:cs="Arial"/>
        </w:rPr>
      </w:pPr>
    </w:p>
    <w:p w14:paraId="7B2C9A1A" w14:textId="7A450864" w:rsidR="00D075AB" w:rsidRDefault="00D075AB" w:rsidP="00D075AB">
      <w:pPr>
        <w:spacing w:after="0" w:line="360" w:lineRule="auto"/>
        <w:jc w:val="both"/>
        <w:rPr>
          <w:rFonts w:ascii="Arial" w:hAnsi="Arial" w:cs="Arial"/>
        </w:rPr>
      </w:pPr>
      <w:r>
        <w:rPr>
          <w:rFonts w:ascii="Arial" w:hAnsi="Arial" w:cs="Arial"/>
        </w:rPr>
        <w:t xml:space="preserve">Concernant l’environnement financier, il resterait extrêmement porteur. De fait, en moyenne sur l’année 2020, le taux de l’emprunt phare à dix ans, référence en termes de taux d’intérêt, reculerait de 0,3 point pour tomber </w:t>
      </w:r>
      <w:proofErr w:type="gramStart"/>
      <w:r>
        <w:rPr>
          <w:rFonts w:ascii="Arial" w:hAnsi="Arial" w:cs="Arial"/>
        </w:rPr>
        <w:t>à</w:t>
      </w:r>
      <w:proofErr w:type="gramEnd"/>
      <w:r>
        <w:rPr>
          <w:rFonts w:ascii="Arial" w:hAnsi="Arial" w:cs="Arial"/>
        </w:rPr>
        <w:t xml:space="preserve"> -0,2 %. Cette situation s’avèrerait inédite sur une année </w:t>
      </w:r>
      <w:r>
        <w:rPr>
          <w:rFonts w:ascii="Arial" w:hAnsi="Arial" w:cs="Arial"/>
        </w:rPr>
        <w:lastRenderedPageBreak/>
        <w:t>complète. Par ailleurs, sous l’hypothèse que l’entrée en vigueur du durcissement prévu dans le cadre de Bâle IV (pour les établissements pr</w:t>
      </w:r>
      <w:r w:rsidR="000065EC">
        <w:rPr>
          <w:rFonts w:ascii="Arial" w:hAnsi="Arial" w:cs="Arial"/>
        </w:rPr>
        <w:t>ê</w:t>
      </w:r>
      <w:r>
        <w:rPr>
          <w:rFonts w:ascii="Arial" w:hAnsi="Arial" w:cs="Arial"/>
        </w:rPr>
        <w:t>teurs, 4,5 euros de fonds propres mis en réserve pour 100 euros de crédit immobilier accordé à un ménage, contre 2 euros aujourd’hui) n’intervienne pas en 2020, l</w:t>
      </w:r>
      <w:r w:rsidR="00005480">
        <w:rPr>
          <w:rFonts w:ascii="Arial" w:hAnsi="Arial" w:cs="Arial"/>
        </w:rPr>
        <w:t>a voie du crédit resterait largement ouverte, même si l’on ne peut exclure un peu plus de sélectivité de la part de</w:t>
      </w:r>
      <w:r>
        <w:rPr>
          <w:rFonts w:ascii="Arial" w:hAnsi="Arial" w:cs="Arial"/>
        </w:rPr>
        <w:t xml:space="preserve">s banques. </w:t>
      </w:r>
    </w:p>
    <w:p w14:paraId="49B9CB56" w14:textId="77777777" w:rsidR="00D075AB" w:rsidRDefault="00D075AB" w:rsidP="00D075AB">
      <w:pPr>
        <w:spacing w:after="0" w:line="360" w:lineRule="auto"/>
        <w:jc w:val="both"/>
        <w:rPr>
          <w:rFonts w:ascii="Arial" w:hAnsi="Arial" w:cs="Arial"/>
        </w:rPr>
      </w:pPr>
    </w:p>
    <w:p w14:paraId="77BA7D94" w14:textId="77777777" w:rsidR="00D075AB" w:rsidRDefault="00D075AB" w:rsidP="00D075AB">
      <w:pPr>
        <w:spacing w:after="0" w:line="360" w:lineRule="auto"/>
        <w:jc w:val="both"/>
        <w:rPr>
          <w:rFonts w:ascii="Arial" w:hAnsi="Arial" w:cs="Arial"/>
          <w:u w:val="single"/>
        </w:rPr>
      </w:pPr>
      <w:r w:rsidRPr="00983E91">
        <w:rPr>
          <w:rFonts w:ascii="Arial" w:hAnsi="Arial" w:cs="Arial"/>
          <w:u w:val="single"/>
        </w:rPr>
        <w:t>2.2 L’environnement institutionnel</w:t>
      </w:r>
    </w:p>
    <w:p w14:paraId="487080B7" w14:textId="77777777" w:rsidR="00D075AB" w:rsidRDefault="00D075AB" w:rsidP="00D075AB">
      <w:pPr>
        <w:spacing w:after="0" w:line="360" w:lineRule="auto"/>
        <w:jc w:val="both"/>
        <w:rPr>
          <w:rFonts w:ascii="Arial" w:hAnsi="Arial" w:cs="Arial"/>
        </w:rPr>
      </w:pPr>
    </w:p>
    <w:p w14:paraId="1F06C054" w14:textId="77777777" w:rsidR="00D075AB" w:rsidRDefault="00D075AB" w:rsidP="00D075AB">
      <w:pPr>
        <w:spacing w:after="0" w:line="360" w:lineRule="auto"/>
        <w:jc w:val="both"/>
        <w:rPr>
          <w:rFonts w:ascii="Arial" w:hAnsi="Arial" w:cs="Arial"/>
        </w:rPr>
      </w:pPr>
      <w:r>
        <w:rPr>
          <w:rFonts w:ascii="Arial" w:hAnsi="Arial" w:cs="Arial"/>
        </w:rPr>
        <w:t>L’environnement institutionnel pour 2020 ressort mitigé.</w:t>
      </w:r>
    </w:p>
    <w:p w14:paraId="610D13CE" w14:textId="77777777" w:rsidR="00D075AB" w:rsidRDefault="00D075AB" w:rsidP="00D075AB">
      <w:pPr>
        <w:spacing w:after="0" w:line="360" w:lineRule="auto"/>
        <w:jc w:val="both"/>
        <w:rPr>
          <w:rFonts w:ascii="Arial" w:hAnsi="Arial" w:cs="Arial"/>
        </w:rPr>
      </w:pPr>
    </w:p>
    <w:p w14:paraId="4DBDB601" w14:textId="0BF9F9B5" w:rsidR="00D075AB" w:rsidRDefault="00D075AB" w:rsidP="00D075AB">
      <w:pPr>
        <w:spacing w:after="0" w:line="360" w:lineRule="auto"/>
        <w:jc w:val="both"/>
        <w:rPr>
          <w:rFonts w:ascii="Arial" w:hAnsi="Arial" w:cs="Arial"/>
        </w:rPr>
      </w:pPr>
      <w:r>
        <w:rPr>
          <w:rFonts w:ascii="Arial" w:hAnsi="Arial" w:cs="Arial"/>
        </w:rPr>
        <w:t xml:space="preserve">À ce jour, la prolongation du PTZ dans le neuf en zones B2 et C reste à confirmer. Certes, </w:t>
      </w:r>
      <w:r w:rsidR="00005480">
        <w:rPr>
          <w:rFonts w:ascii="Arial" w:hAnsi="Arial" w:cs="Arial"/>
        </w:rPr>
        <w:t xml:space="preserve">contre l’avis du gouvernement, </w:t>
      </w:r>
      <w:r>
        <w:rPr>
          <w:rFonts w:ascii="Arial" w:hAnsi="Arial" w:cs="Arial"/>
        </w:rPr>
        <w:t>les députés et sénateurs l’ont votée dans les mêmes termes. Toutefois, tant que la Loi de finances pour 2020 n’est pas définitivement adoptée, le risque perdure. Or, la disparition de cette aide publique dans les zones dites « détendues » constituerait, sans nul doute, un nouveau coup de massue pour le bâtiment, après le rabotage du dispositif en 2018 (passage d’une quotité de prêt de 40 à 20 %) qui avait provoqué la perte immédiate de près de 15 000 maisons construites (- 11 %).</w:t>
      </w:r>
    </w:p>
    <w:p w14:paraId="01FC1AFC" w14:textId="77777777" w:rsidR="00D075AB" w:rsidRDefault="00D075AB" w:rsidP="00D075AB">
      <w:pPr>
        <w:spacing w:after="0" w:line="360" w:lineRule="auto"/>
        <w:jc w:val="both"/>
        <w:rPr>
          <w:rFonts w:ascii="Arial" w:hAnsi="Arial" w:cs="Arial"/>
        </w:rPr>
      </w:pPr>
    </w:p>
    <w:p w14:paraId="3FA3E820" w14:textId="09F9B9BF" w:rsidR="00D075AB" w:rsidRDefault="00D075AB" w:rsidP="00D075AB">
      <w:pPr>
        <w:spacing w:after="0" w:line="360" w:lineRule="auto"/>
        <w:jc w:val="both"/>
        <w:rPr>
          <w:rFonts w:ascii="Arial" w:hAnsi="Arial" w:cs="Arial"/>
        </w:rPr>
      </w:pPr>
      <w:r>
        <w:rPr>
          <w:rFonts w:ascii="Arial" w:hAnsi="Arial" w:cs="Arial"/>
        </w:rPr>
        <w:t xml:space="preserve">Par ailleurs, la </w:t>
      </w:r>
      <w:r w:rsidR="00005480">
        <w:rPr>
          <w:rFonts w:ascii="Arial" w:hAnsi="Arial" w:cs="Arial"/>
        </w:rPr>
        <w:t xml:space="preserve">transformation </w:t>
      </w:r>
      <w:r>
        <w:rPr>
          <w:rFonts w:ascii="Arial" w:hAnsi="Arial" w:cs="Arial"/>
        </w:rPr>
        <w:t>du CITE</w:t>
      </w:r>
      <w:r w:rsidR="00005480">
        <w:rPr>
          <w:rFonts w:ascii="Arial" w:hAnsi="Arial" w:cs="Arial"/>
        </w:rPr>
        <w:t xml:space="preserve"> en prime</w:t>
      </w:r>
      <w:r>
        <w:rPr>
          <w:rFonts w:ascii="Arial" w:hAnsi="Arial" w:cs="Arial"/>
        </w:rPr>
        <w:t>, qui s’</w:t>
      </w:r>
      <w:r w:rsidR="009E45C3">
        <w:rPr>
          <w:rFonts w:ascii="Arial" w:hAnsi="Arial" w:cs="Arial"/>
        </w:rPr>
        <w:t>étalera</w:t>
      </w:r>
      <w:r>
        <w:rPr>
          <w:rFonts w:ascii="Arial" w:hAnsi="Arial" w:cs="Arial"/>
        </w:rPr>
        <w:t xml:space="preserve"> sur 2020, puis 2021, pèsera négativement sur l’activité de rénovation énergétique des logements. De fait, au-delà même de l’abaissement des montants unitaires d’aide, voire de l’exclusion de certains ménages, la complexité du nouveau barème ne pourra que susciter de la perplexité chez les ménages, comme parmi les entreprises et artisans. En détail, le crédit d’impôt ne se transform</w:t>
      </w:r>
      <w:r w:rsidR="00E153A8">
        <w:rPr>
          <w:rFonts w:ascii="Arial" w:hAnsi="Arial" w:cs="Arial"/>
        </w:rPr>
        <w:t>er</w:t>
      </w:r>
      <w:r>
        <w:rPr>
          <w:rFonts w:ascii="Arial" w:hAnsi="Arial" w:cs="Arial"/>
        </w:rPr>
        <w:t>a dès 2020 en prime, distribuée par l’</w:t>
      </w:r>
      <w:proofErr w:type="spellStart"/>
      <w:r>
        <w:rPr>
          <w:rFonts w:ascii="Arial" w:hAnsi="Arial" w:cs="Arial"/>
        </w:rPr>
        <w:t>Anah</w:t>
      </w:r>
      <w:proofErr w:type="spellEnd"/>
      <w:r>
        <w:rPr>
          <w:rFonts w:ascii="Arial" w:hAnsi="Arial" w:cs="Arial"/>
        </w:rPr>
        <w:t xml:space="preserve">, pour les seuls ménages très modestes et modestes au sens des plafonds </w:t>
      </w:r>
      <w:proofErr w:type="spellStart"/>
      <w:r>
        <w:rPr>
          <w:rFonts w:ascii="Arial" w:hAnsi="Arial" w:cs="Arial"/>
        </w:rPr>
        <w:t>Anah</w:t>
      </w:r>
      <w:proofErr w:type="spellEnd"/>
      <w:r>
        <w:rPr>
          <w:rFonts w:ascii="Arial" w:hAnsi="Arial" w:cs="Arial"/>
        </w:rPr>
        <w:t>. Quant aux ménages « intermédiaires », rangés jusqu’au huitième décile de revenu, ils ne basculeront qu’en 2021. Enfin, les ménages aux revenu</w:t>
      </w:r>
      <w:r w:rsidR="00E153A8">
        <w:rPr>
          <w:rFonts w:ascii="Arial" w:hAnsi="Arial" w:cs="Arial"/>
        </w:rPr>
        <w:t xml:space="preserve">s supérieurs (déciles 9 et 10) </w:t>
      </w:r>
      <w:r>
        <w:rPr>
          <w:rFonts w:ascii="Arial" w:hAnsi="Arial" w:cs="Arial"/>
        </w:rPr>
        <w:t>se trouvent tout simplement exclus de l’aide dans le projet initial. Les débats au Parlement, non stabilisés puisque les textes votés par les deux chambres diffèrent, ont restauré l’accès au CITE en 2020, à la prime en 2021 pour les gros travaux, soit l’isolation des parois opaques (</w:t>
      </w:r>
      <w:r w:rsidRPr="004D6EFB">
        <w:rPr>
          <w:rFonts w:ascii="Arial" w:hAnsi="Arial" w:cs="Arial"/>
        </w:rPr>
        <w:t>murs et toitures terrasses</w:t>
      </w:r>
      <w:r>
        <w:rPr>
          <w:rFonts w:ascii="Arial" w:hAnsi="Arial" w:cs="Arial"/>
        </w:rPr>
        <w:t>) ainsi que les opérations de rénovation globale. Dernier exemple de l’incompréhensible complexité du dispositif : les ménages modestes continueront à bénéficier d’une aide pour l’installation d’une chaudière gaz à très haute performance énergétique (THPE), pas les autres !</w:t>
      </w:r>
    </w:p>
    <w:p w14:paraId="0E0CDE69" w14:textId="77777777" w:rsidR="00D075AB" w:rsidRDefault="00D075AB" w:rsidP="00D075AB">
      <w:pPr>
        <w:spacing w:after="0" w:line="360" w:lineRule="auto"/>
        <w:jc w:val="both"/>
        <w:rPr>
          <w:rFonts w:ascii="Arial" w:hAnsi="Arial" w:cs="Arial"/>
        </w:rPr>
      </w:pPr>
    </w:p>
    <w:p w14:paraId="1EBD10E7" w14:textId="3F5B2C7F" w:rsidR="00D075AB" w:rsidRPr="00B21DE5" w:rsidRDefault="00D075AB" w:rsidP="00D075AB">
      <w:pPr>
        <w:spacing w:after="0" w:line="360" w:lineRule="auto"/>
        <w:jc w:val="both"/>
        <w:rPr>
          <w:rFonts w:ascii="Arial" w:hAnsi="Arial" w:cs="Arial"/>
        </w:rPr>
      </w:pPr>
      <w:r>
        <w:rPr>
          <w:rFonts w:ascii="Arial" w:hAnsi="Arial" w:cs="Arial"/>
        </w:rPr>
        <w:t xml:space="preserve">En revanche, la montée en puissance de deux dispositions </w:t>
      </w:r>
      <w:proofErr w:type="gramStart"/>
      <w:r>
        <w:rPr>
          <w:rFonts w:ascii="Arial" w:hAnsi="Arial" w:cs="Arial"/>
        </w:rPr>
        <w:t>devraient</w:t>
      </w:r>
      <w:proofErr w:type="gramEnd"/>
      <w:r>
        <w:rPr>
          <w:rFonts w:ascii="Arial" w:hAnsi="Arial" w:cs="Arial"/>
        </w:rPr>
        <w:t xml:space="preserve"> apporter progressivement un soutien </w:t>
      </w:r>
      <w:r w:rsidR="009E45C3">
        <w:rPr>
          <w:rFonts w:ascii="Arial" w:hAnsi="Arial" w:cs="Arial"/>
        </w:rPr>
        <w:t>à l</w:t>
      </w:r>
      <w:r>
        <w:rPr>
          <w:rFonts w:ascii="Arial" w:hAnsi="Arial" w:cs="Arial"/>
        </w:rPr>
        <w:t xml:space="preserve">’activité : </w:t>
      </w:r>
    </w:p>
    <w:p w14:paraId="563E2E94" w14:textId="77777777" w:rsidR="00D075AB" w:rsidRDefault="00D075AB" w:rsidP="00D075AB">
      <w:pPr>
        <w:pStyle w:val="Paragraphedeliste"/>
        <w:numPr>
          <w:ilvl w:val="0"/>
          <w:numId w:val="30"/>
        </w:numPr>
        <w:spacing w:after="0" w:line="360" w:lineRule="auto"/>
        <w:jc w:val="both"/>
        <w:rPr>
          <w:rFonts w:ascii="Arial" w:hAnsi="Arial" w:cs="Arial"/>
        </w:rPr>
      </w:pPr>
      <w:r w:rsidRPr="00B21DE5">
        <w:rPr>
          <w:rFonts w:ascii="Arial" w:hAnsi="Arial" w:cs="Arial"/>
        </w:rPr>
        <w:lastRenderedPageBreak/>
        <w:t>« Action cœur de ville »</w:t>
      </w:r>
      <w:r>
        <w:rPr>
          <w:rFonts w:ascii="Arial" w:hAnsi="Arial" w:cs="Arial"/>
        </w:rPr>
        <w:t>, avec le lancement effectif de premières opérations de restructuration en 2020, mais également le programme de revitalisation des centres-bourgs ;</w:t>
      </w:r>
    </w:p>
    <w:p w14:paraId="2A8DDA9B" w14:textId="77777777" w:rsidR="00D075AB" w:rsidRPr="00B21DE5" w:rsidRDefault="00D075AB" w:rsidP="00D075AB">
      <w:pPr>
        <w:pStyle w:val="Paragraphedeliste"/>
        <w:numPr>
          <w:ilvl w:val="0"/>
          <w:numId w:val="30"/>
        </w:numPr>
        <w:spacing w:after="0" w:line="360" w:lineRule="auto"/>
        <w:jc w:val="both"/>
        <w:rPr>
          <w:rFonts w:ascii="Arial" w:hAnsi="Arial" w:cs="Arial"/>
        </w:rPr>
      </w:pPr>
      <w:r w:rsidRPr="00B21DE5">
        <w:rPr>
          <w:rFonts w:ascii="Arial" w:hAnsi="Arial" w:cs="Arial"/>
        </w:rPr>
        <w:t xml:space="preserve"> le Plan d’investissement volontaire (PIV) d’Action Logement, qui prévoit 9 milliards d’</w:t>
      </w:r>
      <w:r w:rsidRPr="00683792">
        <w:rPr>
          <w:rFonts w:ascii="Arial" w:hAnsi="Arial" w:cs="Arial"/>
        </w:rPr>
        <w:t>euros d’aide pour générer près de 20 milliards d</w:t>
      </w:r>
      <w:r w:rsidRPr="003E2896">
        <w:rPr>
          <w:rFonts w:ascii="Arial" w:hAnsi="Arial" w:cs="Arial"/>
        </w:rPr>
        <w:t>’euros de travaux jusqu</w:t>
      </w:r>
      <w:r w:rsidRPr="00F604C1">
        <w:rPr>
          <w:rFonts w:ascii="Arial" w:hAnsi="Arial" w:cs="Arial"/>
        </w:rPr>
        <w:t>’en 2022.</w:t>
      </w:r>
    </w:p>
    <w:p w14:paraId="1F0822EF" w14:textId="77777777" w:rsidR="00D075AB" w:rsidRDefault="00D075AB" w:rsidP="00D075AB">
      <w:pPr>
        <w:spacing w:after="0" w:line="360" w:lineRule="auto"/>
        <w:jc w:val="both"/>
        <w:rPr>
          <w:rFonts w:ascii="Arial" w:hAnsi="Arial" w:cs="Arial"/>
        </w:rPr>
      </w:pPr>
    </w:p>
    <w:p w14:paraId="1630EE43" w14:textId="77777777" w:rsidR="00D075AB" w:rsidRDefault="00D075AB" w:rsidP="00D075AB">
      <w:pPr>
        <w:spacing w:after="0" w:line="360" w:lineRule="auto"/>
        <w:jc w:val="both"/>
        <w:rPr>
          <w:rFonts w:ascii="Arial" w:hAnsi="Arial" w:cs="Arial"/>
        </w:rPr>
      </w:pPr>
    </w:p>
    <w:p w14:paraId="6E314618" w14:textId="77777777" w:rsidR="00D075AB" w:rsidRPr="00AE6454" w:rsidRDefault="00D075AB" w:rsidP="00D075AB">
      <w:pPr>
        <w:spacing w:after="0" w:line="360" w:lineRule="auto"/>
        <w:jc w:val="both"/>
        <w:rPr>
          <w:rFonts w:ascii="Arial" w:hAnsi="Arial" w:cs="Arial"/>
          <w:b/>
          <w:sz w:val="28"/>
          <w:szCs w:val="28"/>
          <w:u w:val="single"/>
        </w:rPr>
      </w:pPr>
      <w:r>
        <w:rPr>
          <w:rFonts w:ascii="Arial" w:hAnsi="Arial" w:cs="Arial"/>
          <w:b/>
          <w:sz w:val="28"/>
          <w:szCs w:val="28"/>
          <w:u w:val="single"/>
        </w:rPr>
        <w:t>3</w:t>
      </w:r>
      <w:r w:rsidRPr="00AE6454">
        <w:rPr>
          <w:rFonts w:ascii="Arial" w:hAnsi="Arial" w:cs="Arial"/>
          <w:b/>
          <w:sz w:val="28"/>
          <w:szCs w:val="28"/>
          <w:u w:val="single"/>
        </w:rPr>
        <w:t xml:space="preserve">. </w:t>
      </w:r>
      <w:r>
        <w:rPr>
          <w:rFonts w:ascii="Arial" w:hAnsi="Arial" w:cs="Arial"/>
          <w:b/>
          <w:sz w:val="28"/>
          <w:szCs w:val="28"/>
          <w:u w:val="single"/>
        </w:rPr>
        <w:t>Prévisions 2020</w:t>
      </w:r>
    </w:p>
    <w:p w14:paraId="735B0B0A" w14:textId="77777777" w:rsidR="00D075AB" w:rsidRDefault="00D075AB" w:rsidP="00D075AB">
      <w:pPr>
        <w:spacing w:after="0" w:line="360" w:lineRule="auto"/>
        <w:jc w:val="both"/>
        <w:rPr>
          <w:rFonts w:ascii="Arial" w:hAnsi="Arial" w:cs="Arial"/>
        </w:rPr>
      </w:pPr>
    </w:p>
    <w:p w14:paraId="06C37672" w14:textId="77777777" w:rsidR="00D075AB" w:rsidRPr="00DC4924" w:rsidRDefault="00D075AB" w:rsidP="00D075AB">
      <w:pPr>
        <w:spacing w:after="0" w:line="360" w:lineRule="auto"/>
        <w:jc w:val="both"/>
        <w:rPr>
          <w:rFonts w:ascii="Arial" w:hAnsi="Arial" w:cs="Arial"/>
          <w:u w:val="single"/>
        </w:rPr>
      </w:pPr>
      <w:r>
        <w:rPr>
          <w:rFonts w:ascii="Arial" w:hAnsi="Arial" w:cs="Arial"/>
          <w:u w:val="single"/>
        </w:rPr>
        <w:t>3.1 Le logement neuf</w:t>
      </w:r>
    </w:p>
    <w:p w14:paraId="13A3B7FA" w14:textId="77777777" w:rsidR="00D075AB" w:rsidRDefault="00D075AB" w:rsidP="00D075AB">
      <w:pPr>
        <w:spacing w:after="0" w:line="360" w:lineRule="auto"/>
        <w:jc w:val="both"/>
        <w:rPr>
          <w:rFonts w:ascii="Arial" w:hAnsi="Arial" w:cs="Arial"/>
        </w:rPr>
      </w:pPr>
    </w:p>
    <w:p w14:paraId="0AD5AD04" w14:textId="6C16CA67" w:rsidR="00D075AB" w:rsidRDefault="00D075AB" w:rsidP="00D075AB">
      <w:pPr>
        <w:spacing w:after="0" w:line="360" w:lineRule="auto"/>
        <w:jc w:val="both"/>
        <w:rPr>
          <w:rFonts w:ascii="Arial" w:hAnsi="Arial" w:cs="Arial"/>
        </w:rPr>
      </w:pPr>
      <w:r>
        <w:rPr>
          <w:rFonts w:ascii="Arial" w:hAnsi="Arial" w:cs="Arial"/>
        </w:rPr>
        <w:t xml:space="preserve">Après deux années de baisse de plus de 5 %, les autorisations de logements </w:t>
      </w:r>
      <w:r w:rsidR="009E45C3">
        <w:rPr>
          <w:rFonts w:ascii="Arial" w:hAnsi="Arial" w:cs="Arial"/>
        </w:rPr>
        <w:t>s’effriteront</w:t>
      </w:r>
      <w:r>
        <w:rPr>
          <w:rFonts w:ascii="Arial" w:hAnsi="Arial" w:cs="Arial"/>
        </w:rPr>
        <w:t xml:space="preserve">, </w:t>
      </w:r>
      <w:proofErr w:type="gramStart"/>
      <w:r>
        <w:rPr>
          <w:rFonts w:ascii="Arial" w:hAnsi="Arial" w:cs="Arial"/>
        </w:rPr>
        <w:t>à</w:t>
      </w:r>
      <w:proofErr w:type="gramEnd"/>
      <w:r>
        <w:rPr>
          <w:rFonts w:ascii="Arial" w:hAnsi="Arial" w:cs="Arial"/>
        </w:rPr>
        <w:t xml:space="preserve"> -</w:t>
      </w:r>
      <w:r w:rsidR="00660BB7">
        <w:rPr>
          <w:rFonts w:ascii="Arial" w:hAnsi="Arial" w:cs="Arial"/>
        </w:rPr>
        <w:t> </w:t>
      </w:r>
      <w:r>
        <w:rPr>
          <w:rFonts w:ascii="Arial" w:hAnsi="Arial" w:cs="Arial"/>
        </w:rPr>
        <w:t xml:space="preserve">1,7 % en 2020. </w:t>
      </w:r>
      <w:r w:rsidR="009E45C3">
        <w:rPr>
          <w:rFonts w:ascii="Arial" w:hAnsi="Arial" w:cs="Arial"/>
        </w:rPr>
        <w:t>De même qu’en 2019</w:t>
      </w:r>
      <w:r>
        <w:rPr>
          <w:rFonts w:ascii="Arial" w:hAnsi="Arial" w:cs="Arial"/>
        </w:rPr>
        <w:t>, cette tendance d’ensemble masque</w:t>
      </w:r>
      <w:r w:rsidR="009E45C3">
        <w:rPr>
          <w:rFonts w:ascii="Arial" w:hAnsi="Arial" w:cs="Arial"/>
        </w:rPr>
        <w:t>ra</w:t>
      </w:r>
      <w:r>
        <w:rPr>
          <w:rFonts w:ascii="Arial" w:hAnsi="Arial" w:cs="Arial"/>
        </w:rPr>
        <w:t xml:space="preserve"> des évolutions opposées entre segments. </w:t>
      </w:r>
    </w:p>
    <w:p w14:paraId="425B38F6" w14:textId="77777777" w:rsidR="00D075AB" w:rsidRDefault="00D075AB" w:rsidP="00D075AB">
      <w:pPr>
        <w:spacing w:after="0" w:line="360" w:lineRule="auto"/>
        <w:jc w:val="both"/>
        <w:rPr>
          <w:rFonts w:ascii="Arial" w:hAnsi="Arial" w:cs="Arial"/>
        </w:rPr>
      </w:pPr>
    </w:p>
    <w:p w14:paraId="40A50C49" w14:textId="1DCAD503" w:rsidR="00D075AB" w:rsidRDefault="00D075AB" w:rsidP="00D075AB">
      <w:pPr>
        <w:spacing w:after="0" w:line="360" w:lineRule="auto"/>
        <w:jc w:val="both"/>
        <w:rPr>
          <w:rFonts w:ascii="Arial" w:hAnsi="Arial" w:cs="Arial"/>
        </w:rPr>
      </w:pPr>
      <w:r>
        <w:rPr>
          <w:rFonts w:ascii="Arial" w:hAnsi="Arial" w:cs="Arial"/>
        </w:rPr>
        <w:t xml:space="preserve">Du côté de l’individuel, comme déjà évoqué en partie 1, les ventes </w:t>
      </w:r>
      <w:r w:rsidR="009E45C3">
        <w:rPr>
          <w:rFonts w:ascii="Arial" w:hAnsi="Arial" w:cs="Arial"/>
        </w:rPr>
        <w:t>ont progressé</w:t>
      </w:r>
      <w:r>
        <w:rPr>
          <w:rFonts w:ascii="Arial" w:hAnsi="Arial" w:cs="Arial"/>
        </w:rPr>
        <w:t xml:space="preserve"> </w:t>
      </w:r>
      <w:r w:rsidR="009E45C3">
        <w:rPr>
          <w:rFonts w:ascii="Arial" w:hAnsi="Arial" w:cs="Arial"/>
        </w:rPr>
        <w:t xml:space="preserve">d’environ 5 % </w:t>
      </w:r>
      <w:r>
        <w:rPr>
          <w:rFonts w:ascii="Arial" w:hAnsi="Arial" w:cs="Arial"/>
        </w:rPr>
        <w:t xml:space="preserve">dans le diffus au cours de l’année 2019. Sous les hypothèses d’un maintien du PTZ dans le neuf en zones B2 et C et d’une absence de durcissement de l’environnement macro-financier (i.e. pas d’entrée en vigueur de Bâle IV), les ventes des constructeurs de maisons individuelles resteront relativement stables en 2020. Compte tenu du décalage habituel de quelques mois entre ventes et permis, le redémarrage de ces derniers, observé depuis le printemps 2019, se poursuivra en 2020 pour se lire </w:t>
      </w:r>
      <w:proofErr w:type="gramStart"/>
      <w:r>
        <w:rPr>
          <w:rFonts w:ascii="Arial" w:hAnsi="Arial" w:cs="Arial"/>
        </w:rPr>
        <w:t>à</w:t>
      </w:r>
      <w:proofErr w:type="gramEnd"/>
      <w:r>
        <w:rPr>
          <w:rFonts w:ascii="Arial" w:hAnsi="Arial" w:cs="Arial"/>
        </w:rPr>
        <w:t xml:space="preserve"> +2,6 %, correspondant à une hausse d’environ 5 000 unités.</w:t>
      </w:r>
    </w:p>
    <w:p w14:paraId="16D51AF9" w14:textId="77777777" w:rsidR="00D075AB" w:rsidRDefault="00D075AB" w:rsidP="00D075AB">
      <w:pPr>
        <w:spacing w:after="0" w:line="360" w:lineRule="auto"/>
        <w:jc w:val="both"/>
        <w:rPr>
          <w:rFonts w:ascii="Arial" w:hAnsi="Arial" w:cs="Arial"/>
        </w:rPr>
      </w:pPr>
    </w:p>
    <w:p w14:paraId="08787CC1" w14:textId="77777777" w:rsidR="00D075AB" w:rsidRDefault="00D075AB" w:rsidP="00D075AB">
      <w:pPr>
        <w:spacing w:after="0" w:line="360" w:lineRule="auto"/>
        <w:jc w:val="both"/>
        <w:rPr>
          <w:rFonts w:ascii="Arial" w:hAnsi="Arial" w:cs="Arial"/>
        </w:rPr>
      </w:pPr>
      <w:r>
        <w:rPr>
          <w:rFonts w:ascii="Arial" w:hAnsi="Arial" w:cs="Arial"/>
        </w:rPr>
        <w:t>Du côté du collectif, sous les mêmes hypothèses que pour l’individuel, les permis continueront de se replier en 2020 à -5,3 %, rythme toutefois deux fois moins rapide qu’en 2019. Ce ralentissement de la baisse résultera de la conjonction de trois facteurs :</w:t>
      </w:r>
    </w:p>
    <w:p w14:paraId="1156B7BB" w14:textId="72C7638F" w:rsidR="00D075AB" w:rsidRPr="00200473" w:rsidRDefault="00D075AB" w:rsidP="00D075AB">
      <w:pPr>
        <w:pStyle w:val="Paragraphedeliste"/>
        <w:numPr>
          <w:ilvl w:val="0"/>
          <w:numId w:val="31"/>
        </w:numPr>
        <w:spacing w:after="0" w:line="360" w:lineRule="auto"/>
        <w:jc w:val="both"/>
        <w:rPr>
          <w:rFonts w:ascii="Arial" w:hAnsi="Arial" w:cs="Arial"/>
        </w:rPr>
      </w:pPr>
      <w:r>
        <w:rPr>
          <w:rFonts w:ascii="Arial" w:hAnsi="Arial" w:cs="Arial"/>
        </w:rPr>
        <w:t>le premier plutôt positif concerne la commande locative sociale</w:t>
      </w:r>
      <w:r w:rsidRPr="00200473">
        <w:rPr>
          <w:rFonts w:ascii="Arial" w:hAnsi="Arial" w:cs="Arial"/>
        </w:rPr>
        <w:t xml:space="preserve">. </w:t>
      </w:r>
      <w:r>
        <w:rPr>
          <w:rFonts w:ascii="Arial" w:hAnsi="Arial" w:cs="Arial"/>
        </w:rPr>
        <w:t xml:space="preserve">De fait, </w:t>
      </w:r>
      <w:r w:rsidRPr="00200473">
        <w:rPr>
          <w:rFonts w:ascii="Arial" w:hAnsi="Arial" w:cs="Arial"/>
        </w:rPr>
        <w:t xml:space="preserve">après </w:t>
      </w:r>
      <w:r>
        <w:rPr>
          <w:rFonts w:ascii="Arial" w:hAnsi="Arial" w:cs="Arial"/>
        </w:rPr>
        <w:t xml:space="preserve">deux </w:t>
      </w:r>
      <w:r w:rsidRPr="00200473">
        <w:rPr>
          <w:rFonts w:ascii="Arial" w:hAnsi="Arial" w:cs="Arial"/>
        </w:rPr>
        <w:t xml:space="preserve">années </w:t>
      </w:r>
      <w:r>
        <w:rPr>
          <w:rFonts w:ascii="Arial" w:hAnsi="Arial" w:cs="Arial"/>
        </w:rPr>
        <w:t>de contraction de l’investissement des bailleurs sociaux, consécutive à la mise en place de la large réforme du financement subi</w:t>
      </w:r>
      <w:r w:rsidR="009E45C3">
        <w:rPr>
          <w:rFonts w:ascii="Arial" w:hAnsi="Arial" w:cs="Arial"/>
        </w:rPr>
        <w:t>e</w:t>
      </w:r>
      <w:r>
        <w:rPr>
          <w:rFonts w:ascii="Arial" w:hAnsi="Arial" w:cs="Arial"/>
        </w:rPr>
        <w:t xml:space="preserve"> par le secteur, les</w:t>
      </w:r>
      <w:r w:rsidRPr="00200473">
        <w:rPr>
          <w:rFonts w:ascii="Arial" w:hAnsi="Arial" w:cs="Arial"/>
        </w:rPr>
        <w:t xml:space="preserve"> perspectives </w:t>
      </w:r>
      <w:r>
        <w:rPr>
          <w:rFonts w:ascii="Arial" w:hAnsi="Arial" w:cs="Arial"/>
        </w:rPr>
        <w:t xml:space="preserve">semblent un peu mieux orientées pour 2020, avec notamment la montée en puissance </w:t>
      </w:r>
      <w:r w:rsidRPr="00200473">
        <w:rPr>
          <w:rFonts w:ascii="Arial" w:hAnsi="Arial" w:cs="Arial"/>
        </w:rPr>
        <w:t xml:space="preserve">de </w:t>
      </w:r>
      <w:r>
        <w:rPr>
          <w:rFonts w:ascii="Arial" w:hAnsi="Arial" w:cs="Arial"/>
        </w:rPr>
        <w:t>deux</w:t>
      </w:r>
      <w:r w:rsidRPr="00200473">
        <w:rPr>
          <w:rFonts w:ascii="Arial" w:hAnsi="Arial" w:cs="Arial"/>
        </w:rPr>
        <w:t xml:space="preserve"> plans d’accompagnement</w:t>
      </w:r>
      <w:r w:rsidR="009E45C3">
        <w:rPr>
          <w:rFonts w:ascii="Arial" w:hAnsi="Arial" w:cs="Arial"/>
        </w:rPr>
        <w:t> : le</w:t>
      </w:r>
      <w:r w:rsidRPr="00200473">
        <w:rPr>
          <w:rFonts w:ascii="Arial" w:hAnsi="Arial" w:cs="Arial"/>
        </w:rPr>
        <w:t xml:space="preserve"> </w:t>
      </w:r>
      <w:r>
        <w:rPr>
          <w:rFonts w:ascii="Arial" w:hAnsi="Arial" w:cs="Arial"/>
        </w:rPr>
        <w:t xml:space="preserve">PIV et </w:t>
      </w:r>
      <w:r w:rsidR="009E45C3">
        <w:rPr>
          <w:rFonts w:ascii="Arial" w:hAnsi="Arial" w:cs="Arial"/>
        </w:rPr>
        <w:t xml:space="preserve">le </w:t>
      </w:r>
      <w:r w:rsidRPr="00200473">
        <w:rPr>
          <w:rFonts w:ascii="Arial" w:hAnsi="Arial" w:cs="Arial"/>
        </w:rPr>
        <w:t xml:space="preserve">Plan logement 2 de la Banque des </w:t>
      </w:r>
      <w:r>
        <w:rPr>
          <w:rFonts w:ascii="Arial" w:hAnsi="Arial" w:cs="Arial"/>
        </w:rPr>
        <w:t>t</w:t>
      </w:r>
      <w:r w:rsidRPr="00200473">
        <w:rPr>
          <w:rFonts w:ascii="Arial" w:hAnsi="Arial" w:cs="Arial"/>
        </w:rPr>
        <w:t>erritoires</w:t>
      </w:r>
      <w:r>
        <w:rPr>
          <w:rFonts w:ascii="Arial" w:hAnsi="Arial" w:cs="Arial"/>
        </w:rPr>
        <w:t>.</w:t>
      </w:r>
      <w:r w:rsidRPr="00200473">
        <w:rPr>
          <w:rFonts w:ascii="Arial" w:hAnsi="Arial" w:cs="Arial"/>
        </w:rPr>
        <w:t xml:space="preserve"> </w:t>
      </w:r>
      <w:r>
        <w:rPr>
          <w:rFonts w:ascii="Arial" w:hAnsi="Arial" w:cs="Arial"/>
        </w:rPr>
        <w:t xml:space="preserve">Par ailleurs, le secteur continuera de bénéficier de conditions de financement favorables, avec des taux d’intérêt toujours au plus bas. De l’ordre de 90 000 agréments de logements sociaux neufs seront alors enregistrés en 2020 ; </w:t>
      </w:r>
    </w:p>
    <w:p w14:paraId="46D33C94" w14:textId="664353FE" w:rsidR="00D075AB" w:rsidRPr="00950EBF" w:rsidRDefault="00D075AB" w:rsidP="00D075AB">
      <w:pPr>
        <w:pStyle w:val="Paragraphedeliste"/>
        <w:numPr>
          <w:ilvl w:val="0"/>
          <w:numId w:val="31"/>
        </w:numPr>
        <w:spacing w:after="0" w:line="360" w:lineRule="auto"/>
        <w:jc w:val="both"/>
        <w:rPr>
          <w:rFonts w:ascii="Arial" w:hAnsi="Arial" w:cs="Arial"/>
        </w:rPr>
      </w:pPr>
      <w:r>
        <w:rPr>
          <w:rFonts w:ascii="Arial" w:hAnsi="Arial" w:cs="Arial"/>
        </w:rPr>
        <w:lastRenderedPageBreak/>
        <w:t xml:space="preserve">deux facteurs négatifs. Tout d’abord, la baisse des mises en vente sur le segment du collectif privé d’environ 20 % observée en 2019, qui se traduit en baisse des intentions de mettre à l’étude de nouveaux programmes immobiliers par les promoteurs (cf. graphique 12). Ensuite, comme à l’accoutumée, la tenue </w:t>
      </w:r>
      <w:r w:rsidRPr="00950EBF">
        <w:rPr>
          <w:rFonts w:ascii="Arial" w:hAnsi="Arial" w:cs="Arial"/>
        </w:rPr>
        <w:t xml:space="preserve">des élections municipales </w:t>
      </w:r>
      <w:r>
        <w:rPr>
          <w:rFonts w:ascii="Arial" w:hAnsi="Arial" w:cs="Arial"/>
        </w:rPr>
        <w:t xml:space="preserve">en </w:t>
      </w:r>
      <w:r w:rsidRPr="00950EBF">
        <w:rPr>
          <w:rFonts w:ascii="Arial" w:hAnsi="Arial" w:cs="Arial"/>
        </w:rPr>
        <w:t>mars 2020</w:t>
      </w:r>
      <w:r>
        <w:rPr>
          <w:rFonts w:ascii="Arial" w:hAnsi="Arial" w:cs="Arial"/>
        </w:rPr>
        <w:t xml:space="preserve"> qui risque de reporter de plusieurs mois l’acceptation de nouveaux programmes immobiliers</w:t>
      </w:r>
      <w:r w:rsidR="009E45C3">
        <w:rPr>
          <w:rFonts w:ascii="Arial" w:hAnsi="Arial" w:cs="Arial"/>
        </w:rPr>
        <w:t>,</w:t>
      </w:r>
      <w:r>
        <w:rPr>
          <w:rFonts w:ascii="Arial" w:hAnsi="Arial" w:cs="Arial"/>
        </w:rPr>
        <w:t xml:space="preserve"> donc la délivrance de permis. </w:t>
      </w:r>
    </w:p>
    <w:p w14:paraId="30C7C3B9" w14:textId="2C1629F8" w:rsidR="00D075AB" w:rsidRDefault="00D075AB" w:rsidP="00D075AB">
      <w:pPr>
        <w:rPr>
          <w:rFonts w:ascii="Arial" w:hAnsi="Arial" w:cs="Arial"/>
        </w:rPr>
      </w:pPr>
    </w:p>
    <w:p w14:paraId="35BA8CB1" w14:textId="77777777" w:rsidR="00DA4228" w:rsidRDefault="00DA4228" w:rsidP="00DA4228">
      <w:pPr>
        <w:spacing w:after="0" w:line="312" w:lineRule="auto"/>
        <w:jc w:val="center"/>
        <w:rPr>
          <w:rFonts w:ascii="Arial" w:hAnsi="Arial" w:cs="Arial"/>
          <w:b/>
        </w:rPr>
      </w:pPr>
      <w:r>
        <w:rPr>
          <w:rFonts w:ascii="Arial" w:hAnsi="Arial" w:cs="Arial"/>
        </w:rPr>
        <w:t xml:space="preserve">Graphique 12 – </w:t>
      </w:r>
      <w:r>
        <w:rPr>
          <w:rFonts w:ascii="Arial" w:hAnsi="Arial" w:cs="Arial"/>
          <w:b/>
        </w:rPr>
        <w:t>Souhaits de mise à l’étude de nouveaux programmes par les promoteurs</w:t>
      </w:r>
    </w:p>
    <w:p w14:paraId="50B41FAB" w14:textId="77777777" w:rsidR="00DA4228" w:rsidRDefault="00DA4228" w:rsidP="00DA4228">
      <w:pPr>
        <w:spacing w:after="0" w:line="312" w:lineRule="auto"/>
        <w:jc w:val="center"/>
        <w:rPr>
          <w:rFonts w:ascii="Arial" w:hAnsi="Arial" w:cs="Arial"/>
        </w:rPr>
      </w:pPr>
      <w:r w:rsidRPr="00AE232A">
        <w:rPr>
          <w:rFonts w:ascii="Arial" w:hAnsi="Arial" w:cs="Arial"/>
          <w:noProof/>
          <w:lang w:eastAsia="fr-FR"/>
        </w:rPr>
        <w:drawing>
          <wp:inline distT="0" distB="0" distL="0" distR="0" wp14:anchorId="26152AB0" wp14:editId="15137B41">
            <wp:extent cx="5760720" cy="305138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r>
        <w:rPr>
          <w:rFonts w:ascii="Arial" w:hAnsi="Arial" w:cs="Arial"/>
        </w:rPr>
        <w:t xml:space="preserve"> </w:t>
      </w:r>
    </w:p>
    <w:p w14:paraId="292FB3E5" w14:textId="77777777" w:rsidR="00DA4228" w:rsidRPr="005000EC" w:rsidRDefault="00DA4228" w:rsidP="00DA4228">
      <w:pPr>
        <w:spacing w:after="0" w:line="312" w:lineRule="auto"/>
        <w:jc w:val="center"/>
        <w:rPr>
          <w:rFonts w:ascii="Arial" w:hAnsi="Arial" w:cs="Arial"/>
          <w:i/>
          <w:sz w:val="20"/>
          <w:szCs w:val="20"/>
        </w:rPr>
      </w:pPr>
      <w:r w:rsidRPr="005000EC">
        <w:rPr>
          <w:rFonts w:ascii="Arial" w:hAnsi="Arial" w:cs="Arial"/>
          <w:i/>
          <w:sz w:val="20"/>
          <w:szCs w:val="20"/>
        </w:rPr>
        <w:t>Source : Insee</w:t>
      </w:r>
    </w:p>
    <w:p w14:paraId="6954D094" w14:textId="77777777" w:rsidR="00DA4228" w:rsidRDefault="00DA4228" w:rsidP="00D075AB">
      <w:pPr>
        <w:rPr>
          <w:rFonts w:ascii="Arial" w:hAnsi="Arial" w:cs="Arial"/>
        </w:rPr>
      </w:pPr>
    </w:p>
    <w:p w14:paraId="7AAC4E65" w14:textId="71E4474A" w:rsidR="00D075AB" w:rsidRDefault="00D075AB" w:rsidP="00D075AB">
      <w:pPr>
        <w:spacing w:after="0" w:line="360" w:lineRule="auto"/>
        <w:jc w:val="both"/>
        <w:rPr>
          <w:rFonts w:ascii="Arial" w:hAnsi="Arial" w:cs="Arial"/>
        </w:rPr>
      </w:pPr>
      <w:r>
        <w:rPr>
          <w:rFonts w:ascii="Arial" w:hAnsi="Arial" w:cs="Arial"/>
        </w:rPr>
        <w:t xml:space="preserve">En termes de travaux effectifs, les tendances précédentes </w:t>
      </w:r>
      <w:r w:rsidR="009E45C3">
        <w:rPr>
          <w:rFonts w:ascii="Arial" w:hAnsi="Arial" w:cs="Arial"/>
        </w:rPr>
        <w:t>se tradui</w:t>
      </w:r>
      <w:r>
        <w:rPr>
          <w:rFonts w:ascii="Arial" w:hAnsi="Arial" w:cs="Arial"/>
        </w:rPr>
        <w:t xml:space="preserve">ront </w:t>
      </w:r>
      <w:r w:rsidR="009E45C3">
        <w:rPr>
          <w:rFonts w:ascii="Arial" w:hAnsi="Arial" w:cs="Arial"/>
        </w:rPr>
        <w:t>en</w:t>
      </w:r>
      <w:r>
        <w:rPr>
          <w:rFonts w:ascii="Arial" w:hAnsi="Arial" w:cs="Arial"/>
        </w:rPr>
        <w:t xml:space="preserve"> mise</w:t>
      </w:r>
      <w:r w:rsidR="003631FC">
        <w:rPr>
          <w:rFonts w:ascii="Arial" w:hAnsi="Arial" w:cs="Arial"/>
        </w:rPr>
        <w:t>s</w:t>
      </w:r>
      <w:r>
        <w:rPr>
          <w:rFonts w:ascii="Arial" w:hAnsi="Arial" w:cs="Arial"/>
        </w:rPr>
        <w:t xml:space="preserve"> en chantier de près de 400 000 logements en 2020, soit une baisse de 8 000 unités et de 2,0 % sur un an. Toutefois, </w:t>
      </w:r>
      <w:r w:rsidR="003631FC">
        <w:rPr>
          <w:rFonts w:ascii="Arial" w:hAnsi="Arial" w:cs="Arial"/>
        </w:rPr>
        <w:t>c</w:t>
      </w:r>
      <w:r>
        <w:rPr>
          <w:rFonts w:ascii="Arial" w:hAnsi="Arial" w:cs="Arial"/>
        </w:rPr>
        <w:t>e niveau s’affichera bien au-delà de sa moyenne de long-terme</w:t>
      </w:r>
      <w:r w:rsidR="009E45C3">
        <w:rPr>
          <w:rFonts w:ascii="Arial" w:hAnsi="Arial" w:cs="Arial"/>
        </w:rPr>
        <w:t>,</w:t>
      </w:r>
      <w:r>
        <w:rPr>
          <w:rFonts w:ascii="Arial" w:hAnsi="Arial" w:cs="Arial"/>
        </w:rPr>
        <w:t xml:space="preserve"> qui s’élève à 360 000 logements par an. À l’instar des permis, l’individuel se lira enfin en progression, à +2,8 %, alors que le collectif poursuivra sa chute, à -5,7 %. En niveau, ces évolutions respectives correspondront à un gain de 5 000 logements commencés dans l’individuel et à une perte de 13 000 unités dans le collectif.</w:t>
      </w:r>
    </w:p>
    <w:p w14:paraId="3F486FC1" w14:textId="77777777" w:rsidR="00D075AB" w:rsidRDefault="00D075AB" w:rsidP="00D075AB">
      <w:pPr>
        <w:rPr>
          <w:rFonts w:ascii="Arial" w:hAnsi="Arial" w:cs="Arial"/>
        </w:rPr>
      </w:pPr>
    </w:p>
    <w:p w14:paraId="58F40AB7" w14:textId="77777777" w:rsidR="00D075AB" w:rsidRDefault="00D075AB" w:rsidP="00D075AB">
      <w:pPr>
        <w:spacing w:after="0" w:line="360" w:lineRule="auto"/>
        <w:jc w:val="both"/>
        <w:rPr>
          <w:rFonts w:ascii="Arial" w:hAnsi="Arial" w:cs="Arial"/>
        </w:rPr>
      </w:pPr>
      <w:r>
        <w:rPr>
          <w:rFonts w:ascii="Arial" w:hAnsi="Arial" w:cs="Arial"/>
        </w:rPr>
        <w:t xml:space="preserve">En termes d’activité, compte tenu du temps habituel de production, la baisse se trouvera limitée à 1,0 % sur l’ensemble de l’année 2020, la bonne tenue de l’individuel à +2,3 % compensant, en partie, le recul de 4,6 % du collectif. </w:t>
      </w:r>
    </w:p>
    <w:p w14:paraId="254BF2E3" w14:textId="77777777" w:rsidR="00D075AB" w:rsidRDefault="00D075AB" w:rsidP="00D075AB">
      <w:pPr>
        <w:rPr>
          <w:rFonts w:ascii="Arial" w:hAnsi="Arial" w:cs="Arial"/>
        </w:rPr>
      </w:pPr>
    </w:p>
    <w:p w14:paraId="19D9EE83" w14:textId="77777777" w:rsidR="00D075AB" w:rsidRDefault="00D075AB" w:rsidP="00D075AB">
      <w:pPr>
        <w:spacing w:after="0" w:line="360" w:lineRule="auto"/>
        <w:jc w:val="both"/>
        <w:rPr>
          <w:rFonts w:ascii="Arial" w:hAnsi="Arial" w:cs="Arial"/>
        </w:rPr>
      </w:pPr>
    </w:p>
    <w:tbl>
      <w:tblPr>
        <w:tblStyle w:val="Grilledutableau"/>
        <w:tblW w:w="0" w:type="auto"/>
        <w:tblLook w:val="04A0" w:firstRow="1" w:lastRow="0" w:firstColumn="1" w:lastColumn="0" w:noHBand="0" w:noVBand="1"/>
      </w:tblPr>
      <w:tblGrid>
        <w:gridCol w:w="9062"/>
      </w:tblGrid>
      <w:tr w:rsidR="00D075AB" w14:paraId="25956ED0" w14:textId="77777777" w:rsidTr="00005480">
        <w:tc>
          <w:tcPr>
            <w:tcW w:w="9062" w:type="dxa"/>
          </w:tcPr>
          <w:p w14:paraId="589FE570" w14:textId="77777777" w:rsidR="00D075AB" w:rsidRDefault="00D075AB" w:rsidP="00005480">
            <w:pPr>
              <w:spacing w:line="360" w:lineRule="auto"/>
              <w:jc w:val="both"/>
              <w:rPr>
                <w:rFonts w:ascii="Arial" w:hAnsi="Arial" w:cs="Arial"/>
                <w:u w:val="single"/>
              </w:rPr>
            </w:pPr>
            <w:r>
              <w:rPr>
                <w:rFonts w:ascii="Arial" w:hAnsi="Arial" w:cs="Arial"/>
                <w:u w:val="single"/>
              </w:rPr>
              <w:lastRenderedPageBreak/>
              <w:t>Encadré 2. Impact d’une possible disparition du PTZ dans le neuf en zones B2 et C dès 2020.</w:t>
            </w:r>
          </w:p>
          <w:p w14:paraId="0931EF54" w14:textId="77777777" w:rsidR="00D075AB" w:rsidRPr="003E4350" w:rsidRDefault="00D075AB" w:rsidP="00005480">
            <w:pPr>
              <w:spacing w:line="360" w:lineRule="auto"/>
              <w:jc w:val="both"/>
              <w:rPr>
                <w:rFonts w:ascii="Arial" w:hAnsi="Arial" w:cs="Arial"/>
              </w:rPr>
            </w:pPr>
          </w:p>
          <w:p w14:paraId="5BB723BC" w14:textId="18F2C2B6" w:rsidR="00D075AB" w:rsidRDefault="00D075AB" w:rsidP="00005480">
            <w:pPr>
              <w:spacing w:line="360" w:lineRule="auto"/>
              <w:jc w:val="both"/>
              <w:rPr>
                <w:rFonts w:ascii="Arial" w:hAnsi="Arial" w:cs="Arial"/>
              </w:rPr>
            </w:pPr>
            <w:r>
              <w:rPr>
                <w:rFonts w:ascii="Arial" w:hAnsi="Arial" w:cs="Arial"/>
              </w:rPr>
              <w:t xml:space="preserve">Si, au final, le PTZ neuf disparaissait en zones B2 et C en 2020, on estime la perte de marché immédiate à environ 10 000 à 12 000 maisons individuelles, ainsi que 3 000 appartements. De fait, en 2018, année où la quotité de prêt est tombée de 40 % à 20 % sur ces mêmes territoires, la perte s’était établie à environ 15 000 ventes de logements dans le diffus. Toutefois, l’amélioration de l’environnement macro-financier en 2019, notamment </w:t>
            </w:r>
            <w:r w:rsidR="009E45C3">
              <w:rPr>
                <w:rFonts w:ascii="Arial" w:hAnsi="Arial" w:cs="Arial"/>
              </w:rPr>
              <w:t>la</w:t>
            </w:r>
            <w:r>
              <w:rPr>
                <w:rFonts w:ascii="Arial" w:hAnsi="Arial" w:cs="Arial"/>
              </w:rPr>
              <w:t xml:space="preserve"> nouvelle baisse des taux d’apport dans le neuf (niveau historiquement bas de 14 % sur les neuf premiers mois, selon les données de l’Observatoire Crédit Logement/CSA), permettrait d’atténuer l’impact de la suppression, sous l’hypothèse que le durcissement des règles prudentielles prévues dans le cadre de Bâle IV n’entre pas en vigueur en 2020.</w:t>
            </w:r>
          </w:p>
          <w:p w14:paraId="1BE2C24F" w14:textId="77777777" w:rsidR="00D075AB" w:rsidRDefault="00D075AB" w:rsidP="00005480">
            <w:pPr>
              <w:spacing w:line="360" w:lineRule="auto"/>
              <w:jc w:val="both"/>
              <w:rPr>
                <w:rFonts w:ascii="Arial" w:hAnsi="Arial" w:cs="Arial"/>
              </w:rPr>
            </w:pPr>
          </w:p>
          <w:p w14:paraId="65451076" w14:textId="34248D85" w:rsidR="00D075AB" w:rsidRDefault="00D075AB" w:rsidP="009E45C3">
            <w:pPr>
              <w:spacing w:line="360" w:lineRule="auto"/>
              <w:jc w:val="both"/>
              <w:rPr>
                <w:rFonts w:ascii="Arial" w:hAnsi="Arial" w:cs="Arial"/>
                <w:u w:val="single"/>
              </w:rPr>
            </w:pPr>
            <w:r>
              <w:rPr>
                <w:rFonts w:ascii="Arial" w:hAnsi="Arial" w:cs="Arial"/>
              </w:rPr>
              <w:t xml:space="preserve">Par voie de conséquence, des écarts à la baisse d’environ 11 000 permis (9 000 dans l’individuel et 2 000 dans le collectif) et 9 000 mises en chantier s’observeraient en 2020 par rapport au scénario central développé précédemment. </w:t>
            </w:r>
            <w:r w:rsidR="009E45C3">
              <w:rPr>
                <w:rFonts w:ascii="Arial" w:hAnsi="Arial" w:cs="Arial"/>
              </w:rPr>
              <w:t>L</w:t>
            </w:r>
            <w:r>
              <w:rPr>
                <w:rFonts w:ascii="Arial" w:hAnsi="Arial" w:cs="Arial"/>
              </w:rPr>
              <w:t xml:space="preserve">a production logement flancherait </w:t>
            </w:r>
            <w:r w:rsidR="009E45C3">
              <w:rPr>
                <w:rFonts w:ascii="Arial" w:hAnsi="Arial" w:cs="Arial"/>
              </w:rPr>
              <w:t xml:space="preserve">alors </w:t>
            </w:r>
            <w:r>
              <w:rPr>
                <w:rFonts w:ascii="Arial" w:hAnsi="Arial" w:cs="Arial"/>
              </w:rPr>
              <w:t>plus sévèrement, à -2,7 % hors effet prix, et l’activité globale du bâtiment peinerait à afficher une véritable croissance, à +0,3 %. Toutefois, à ce stade, on ne privilégie pas ce scénario.</w:t>
            </w:r>
          </w:p>
        </w:tc>
      </w:tr>
    </w:tbl>
    <w:p w14:paraId="6924176C" w14:textId="77777777" w:rsidR="00AE2A4C" w:rsidRPr="00AE2A4C" w:rsidRDefault="00AE2A4C" w:rsidP="00D075AB">
      <w:pPr>
        <w:spacing w:after="0" w:line="360" w:lineRule="auto"/>
        <w:jc w:val="both"/>
        <w:rPr>
          <w:rFonts w:ascii="Arial" w:hAnsi="Arial" w:cs="Arial"/>
        </w:rPr>
      </w:pPr>
    </w:p>
    <w:p w14:paraId="70C8E346" w14:textId="08315F5D" w:rsidR="00D075AB" w:rsidRPr="00DC6D78" w:rsidRDefault="00D075AB" w:rsidP="00D075AB">
      <w:pPr>
        <w:spacing w:after="0" w:line="360" w:lineRule="auto"/>
        <w:jc w:val="both"/>
        <w:rPr>
          <w:rFonts w:ascii="Arial" w:hAnsi="Arial" w:cs="Arial"/>
          <w:u w:val="single"/>
        </w:rPr>
      </w:pPr>
      <w:r w:rsidRPr="00DC6D78">
        <w:rPr>
          <w:rFonts w:ascii="Arial" w:hAnsi="Arial" w:cs="Arial"/>
          <w:u w:val="single"/>
        </w:rPr>
        <w:t>3.2 Le non résidentiel neuf</w:t>
      </w:r>
    </w:p>
    <w:p w14:paraId="65C3D9BB" w14:textId="77777777" w:rsidR="00D075AB" w:rsidRDefault="00D075AB" w:rsidP="00D075AB">
      <w:pPr>
        <w:spacing w:after="0" w:line="360" w:lineRule="auto"/>
        <w:jc w:val="both"/>
        <w:rPr>
          <w:rFonts w:ascii="Arial" w:hAnsi="Arial" w:cs="Arial"/>
        </w:rPr>
      </w:pPr>
    </w:p>
    <w:p w14:paraId="2584CAF4" w14:textId="77777777" w:rsidR="00D075AB" w:rsidRDefault="00D075AB" w:rsidP="00D075AB">
      <w:pPr>
        <w:spacing w:after="0" w:line="360" w:lineRule="auto"/>
        <w:jc w:val="both"/>
        <w:rPr>
          <w:rFonts w:ascii="Arial" w:hAnsi="Arial" w:cs="Arial"/>
        </w:rPr>
      </w:pPr>
      <w:r>
        <w:rPr>
          <w:rFonts w:ascii="Arial" w:hAnsi="Arial" w:cs="Arial"/>
        </w:rPr>
        <w:t xml:space="preserve">En 2020, hors locaux agricoles, les surfaces autorisées de bâtiments non résidentiels neufs s’inscriront en retrait de 0,8 %. Toutefois, les disparités resteront marquées entre segments. </w:t>
      </w:r>
    </w:p>
    <w:p w14:paraId="726ABB51" w14:textId="77777777" w:rsidR="00D075AB" w:rsidRDefault="00D075AB" w:rsidP="00D075AB">
      <w:pPr>
        <w:spacing w:after="0" w:line="360" w:lineRule="auto"/>
        <w:jc w:val="both"/>
        <w:rPr>
          <w:rFonts w:ascii="Arial" w:hAnsi="Arial" w:cs="Arial"/>
        </w:rPr>
      </w:pPr>
    </w:p>
    <w:p w14:paraId="03A119FA" w14:textId="77777777" w:rsidR="00D075AB" w:rsidRDefault="00D075AB" w:rsidP="00D075AB">
      <w:pPr>
        <w:spacing w:after="0" w:line="360" w:lineRule="auto"/>
        <w:jc w:val="both"/>
        <w:rPr>
          <w:rFonts w:ascii="Arial" w:hAnsi="Arial" w:cs="Arial"/>
        </w:rPr>
      </w:pPr>
      <w:r>
        <w:rPr>
          <w:rFonts w:ascii="Arial" w:hAnsi="Arial" w:cs="Arial"/>
        </w:rPr>
        <w:t xml:space="preserve">Après une année de forte croissance en 2019 à +11,1 %, les surfaces autorisées de bâtiments industriels et assimilés fléchiront, </w:t>
      </w:r>
      <w:proofErr w:type="gramStart"/>
      <w:r>
        <w:rPr>
          <w:rFonts w:ascii="Arial" w:hAnsi="Arial" w:cs="Arial"/>
        </w:rPr>
        <w:t>à</w:t>
      </w:r>
      <w:proofErr w:type="gramEnd"/>
      <w:r>
        <w:rPr>
          <w:rFonts w:ascii="Arial" w:hAnsi="Arial" w:cs="Arial"/>
        </w:rPr>
        <w:t xml:space="preserve"> -1,0 %. De fait, le ralentissement de ce segment, perçu dès l’automne 2019, se trouve confirmé par les premières prévisions des industriels qui tablent sur une quasi-stabilisation de leurs investissements en valeur (+0,3 %, cf. supra).</w:t>
      </w:r>
    </w:p>
    <w:p w14:paraId="566E2F8F" w14:textId="77777777" w:rsidR="00D075AB" w:rsidRDefault="00D075AB" w:rsidP="00D075AB">
      <w:pPr>
        <w:spacing w:after="0" w:line="360" w:lineRule="auto"/>
        <w:jc w:val="both"/>
        <w:rPr>
          <w:rFonts w:ascii="Arial" w:hAnsi="Arial" w:cs="Arial"/>
        </w:rPr>
      </w:pPr>
    </w:p>
    <w:p w14:paraId="5C237370" w14:textId="77777777" w:rsidR="00D075AB" w:rsidRDefault="00D075AB" w:rsidP="00D075AB">
      <w:pPr>
        <w:spacing w:after="0" w:line="360" w:lineRule="auto"/>
        <w:jc w:val="both"/>
        <w:rPr>
          <w:rFonts w:ascii="Arial" w:hAnsi="Arial" w:cs="Arial"/>
        </w:rPr>
      </w:pPr>
      <w:r>
        <w:rPr>
          <w:rFonts w:ascii="Arial" w:hAnsi="Arial" w:cs="Arial"/>
        </w:rPr>
        <w:t xml:space="preserve">S’agissant des bureaux, les surfaces autorisées reculeront de 3,4 % en 2020, plusieurs facteurs pesant négativement sur ce segment : </w:t>
      </w:r>
    </w:p>
    <w:p w14:paraId="57107E81" w14:textId="77777777" w:rsidR="00D075AB" w:rsidRPr="00A94C63" w:rsidRDefault="00D075AB" w:rsidP="00D075AB">
      <w:pPr>
        <w:pStyle w:val="Paragraphedeliste"/>
        <w:numPr>
          <w:ilvl w:val="0"/>
          <w:numId w:val="32"/>
        </w:numPr>
        <w:spacing w:after="0" w:line="360" w:lineRule="auto"/>
        <w:jc w:val="both"/>
        <w:rPr>
          <w:rFonts w:ascii="Arial" w:hAnsi="Arial" w:cs="Arial"/>
        </w:rPr>
      </w:pPr>
      <w:r w:rsidRPr="00A94C63">
        <w:rPr>
          <w:rFonts w:ascii="Arial" w:hAnsi="Arial" w:cs="Arial"/>
        </w:rPr>
        <w:t xml:space="preserve">à dire d’experts, la demande placée s’affichera en léger retrait, notamment en Île-de-France ; </w:t>
      </w:r>
    </w:p>
    <w:p w14:paraId="2ED20D81" w14:textId="77777777" w:rsidR="00D075AB" w:rsidRPr="00A94C63" w:rsidRDefault="00D075AB" w:rsidP="00D075AB">
      <w:pPr>
        <w:pStyle w:val="Paragraphedeliste"/>
        <w:numPr>
          <w:ilvl w:val="0"/>
          <w:numId w:val="32"/>
        </w:numPr>
        <w:spacing w:after="0" w:line="360" w:lineRule="auto"/>
        <w:jc w:val="both"/>
        <w:rPr>
          <w:rFonts w:ascii="Arial" w:hAnsi="Arial" w:cs="Arial"/>
        </w:rPr>
      </w:pPr>
      <w:r w:rsidRPr="00A94C63">
        <w:rPr>
          <w:rFonts w:ascii="Arial" w:hAnsi="Arial" w:cs="Arial"/>
        </w:rPr>
        <w:lastRenderedPageBreak/>
        <w:t xml:space="preserve">or, l’activité soutenue de construction de bureaux enregistrée ces dernières années conduira à de nombreuses livraisons en 2020 et 2021, à l’instar du quartier de La Défense en région parisienne, engendrant une hausse de l’offre immédiate. Cela pèsera donc négativement sur les perspectives de mise à l’étude de nouveaux programmes ; </w:t>
      </w:r>
    </w:p>
    <w:p w14:paraId="4B5CE441" w14:textId="77777777" w:rsidR="00D075AB" w:rsidRDefault="00D075AB" w:rsidP="00D075AB">
      <w:pPr>
        <w:pStyle w:val="Paragraphedeliste"/>
        <w:numPr>
          <w:ilvl w:val="0"/>
          <w:numId w:val="32"/>
        </w:numPr>
        <w:spacing w:after="0" w:line="360" w:lineRule="auto"/>
        <w:jc w:val="both"/>
        <w:rPr>
          <w:rFonts w:ascii="Arial" w:hAnsi="Arial" w:cs="Arial"/>
        </w:rPr>
      </w:pPr>
      <w:r>
        <w:rPr>
          <w:rFonts w:ascii="Arial" w:hAnsi="Arial" w:cs="Arial"/>
        </w:rPr>
        <w:t xml:space="preserve">enfin, </w:t>
      </w:r>
      <w:r w:rsidRPr="004715B9">
        <w:rPr>
          <w:rFonts w:ascii="Arial" w:hAnsi="Arial" w:cs="Arial"/>
        </w:rPr>
        <w:t xml:space="preserve">la tendance </w:t>
      </w:r>
      <w:r>
        <w:rPr>
          <w:rFonts w:ascii="Arial" w:hAnsi="Arial" w:cs="Arial"/>
        </w:rPr>
        <w:t xml:space="preserve">s’avère bien </w:t>
      </w:r>
      <w:r w:rsidRPr="004715B9">
        <w:rPr>
          <w:rFonts w:ascii="Arial" w:hAnsi="Arial" w:cs="Arial"/>
        </w:rPr>
        <w:t xml:space="preserve">à </w:t>
      </w:r>
      <w:r>
        <w:rPr>
          <w:rFonts w:ascii="Arial" w:hAnsi="Arial" w:cs="Arial"/>
        </w:rPr>
        <w:t xml:space="preserve">une </w:t>
      </w:r>
      <w:r w:rsidRPr="004715B9">
        <w:rPr>
          <w:rFonts w:ascii="Arial" w:hAnsi="Arial" w:cs="Arial"/>
        </w:rPr>
        <w:t xml:space="preserve">rationalisation de l’espace de </w:t>
      </w:r>
      <w:r>
        <w:rPr>
          <w:rFonts w:ascii="Arial" w:hAnsi="Arial" w:cs="Arial"/>
        </w:rPr>
        <w:t>travail par actif</w:t>
      </w:r>
      <w:r w:rsidRPr="004715B9">
        <w:rPr>
          <w:rFonts w:ascii="Arial" w:hAnsi="Arial" w:cs="Arial"/>
        </w:rPr>
        <w:t xml:space="preserve"> </w:t>
      </w:r>
      <w:r>
        <w:rPr>
          <w:rFonts w:ascii="Arial" w:hAnsi="Arial" w:cs="Arial"/>
        </w:rPr>
        <w:t xml:space="preserve">relevant du secteur des services, bien que cela </w:t>
      </w:r>
      <w:r w:rsidRPr="00C52520">
        <w:rPr>
          <w:rFonts w:ascii="Arial" w:hAnsi="Arial" w:cs="Arial"/>
        </w:rPr>
        <w:t>intervienne lentement et sans rupture</w:t>
      </w:r>
      <w:r>
        <w:rPr>
          <w:rFonts w:ascii="Arial" w:hAnsi="Arial" w:cs="Arial"/>
        </w:rPr>
        <w:t xml:space="preserve"> nette</w:t>
      </w:r>
      <w:r w:rsidRPr="004715B9">
        <w:rPr>
          <w:rFonts w:ascii="Arial" w:hAnsi="Arial" w:cs="Arial"/>
        </w:rPr>
        <w:t xml:space="preserve">. </w:t>
      </w:r>
    </w:p>
    <w:p w14:paraId="45AD7C03" w14:textId="400A2195" w:rsidR="00D075AB" w:rsidRPr="004715B9" w:rsidRDefault="00D075AB" w:rsidP="00D075AB">
      <w:pPr>
        <w:spacing w:after="0" w:line="360" w:lineRule="auto"/>
        <w:jc w:val="both"/>
        <w:rPr>
          <w:rFonts w:ascii="Arial" w:hAnsi="Arial" w:cs="Arial"/>
        </w:rPr>
      </w:pPr>
      <w:r>
        <w:rPr>
          <w:rFonts w:ascii="Arial" w:hAnsi="Arial" w:cs="Arial"/>
        </w:rPr>
        <w:t>À noter que l’impact des récentes difficultés</w:t>
      </w:r>
      <w:r w:rsidRPr="004715B9">
        <w:rPr>
          <w:rFonts w:ascii="Arial" w:hAnsi="Arial" w:cs="Arial"/>
        </w:rPr>
        <w:t xml:space="preserve"> de </w:t>
      </w:r>
      <w:proofErr w:type="spellStart"/>
      <w:r w:rsidRPr="004715B9">
        <w:rPr>
          <w:rFonts w:ascii="Arial" w:hAnsi="Arial" w:cs="Arial"/>
        </w:rPr>
        <w:t>WeWork</w:t>
      </w:r>
      <w:proofErr w:type="spellEnd"/>
      <w:r w:rsidRPr="004715B9">
        <w:rPr>
          <w:rFonts w:ascii="Arial" w:hAnsi="Arial" w:cs="Arial"/>
        </w:rPr>
        <w:t xml:space="preserve">, </w:t>
      </w:r>
      <w:r>
        <w:rPr>
          <w:rFonts w:ascii="Arial" w:hAnsi="Arial" w:cs="Arial"/>
        </w:rPr>
        <w:t xml:space="preserve">intermédiaire </w:t>
      </w:r>
      <w:r w:rsidRPr="004715B9">
        <w:rPr>
          <w:rFonts w:ascii="Arial" w:hAnsi="Arial" w:cs="Arial"/>
        </w:rPr>
        <w:t>spécialisé dans</w:t>
      </w:r>
      <w:r>
        <w:rPr>
          <w:rFonts w:ascii="Arial" w:hAnsi="Arial" w:cs="Arial"/>
        </w:rPr>
        <w:t xml:space="preserve"> la location</w:t>
      </w:r>
      <w:r w:rsidRPr="004715B9">
        <w:rPr>
          <w:rFonts w:ascii="Arial" w:hAnsi="Arial" w:cs="Arial"/>
        </w:rPr>
        <w:t xml:space="preserve"> </w:t>
      </w:r>
      <w:r>
        <w:rPr>
          <w:rFonts w:ascii="Arial" w:hAnsi="Arial" w:cs="Arial"/>
        </w:rPr>
        <w:t>d’</w:t>
      </w:r>
      <w:r w:rsidRPr="004715B9">
        <w:rPr>
          <w:rFonts w:ascii="Arial" w:hAnsi="Arial" w:cs="Arial"/>
        </w:rPr>
        <w:t xml:space="preserve">espaces de </w:t>
      </w:r>
      <w:proofErr w:type="spellStart"/>
      <w:r w:rsidRPr="004715B9">
        <w:rPr>
          <w:rFonts w:ascii="Arial" w:hAnsi="Arial" w:cs="Arial"/>
        </w:rPr>
        <w:t>coworking</w:t>
      </w:r>
      <w:proofErr w:type="spellEnd"/>
      <w:r>
        <w:rPr>
          <w:rFonts w:ascii="Arial" w:hAnsi="Arial" w:cs="Arial"/>
        </w:rPr>
        <w:t>,</w:t>
      </w:r>
      <w:r w:rsidRPr="004715B9">
        <w:rPr>
          <w:rFonts w:ascii="Arial" w:hAnsi="Arial" w:cs="Arial"/>
        </w:rPr>
        <w:t xml:space="preserve"> </w:t>
      </w:r>
      <w:r>
        <w:rPr>
          <w:rFonts w:ascii="Arial" w:hAnsi="Arial" w:cs="Arial"/>
        </w:rPr>
        <w:t xml:space="preserve">restera très limité. Quand bien même cette entreprise viendrait </w:t>
      </w:r>
      <w:r w:rsidRPr="00C52520">
        <w:rPr>
          <w:rFonts w:ascii="Arial" w:hAnsi="Arial" w:cs="Arial"/>
        </w:rPr>
        <w:t xml:space="preserve">à </w:t>
      </w:r>
      <w:r>
        <w:rPr>
          <w:rFonts w:ascii="Arial" w:hAnsi="Arial" w:cs="Arial"/>
        </w:rPr>
        <w:t xml:space="preserve">fermer tous </w:t>
      </w:r>
      <w:r w:rsidRPr="00C52520">
        <w:rPr>
          <w:rFonts w:ascii="Arial" w:hAnsi="Arial" w:cs="Arial"/>
        </w:rPr>
        <w:t>ses sites</w:t>
      </w:r>
      <w:r>
        <w:rPr>
          <w:rFonts w:ascii="Arial" w:hAnsi="Arial" w:cs="Arial"/>
        </w:rPr>
        <w:t xml:space="preserve">, dont </w:t>
      </w:r>
      <w:r w:rsidR="00660BB7">
        <w:rPr>
          <w:rFonts w:ascii="Arial" w:hAnsi="Arial" w:cs="Arial"/>
        </w:rPr>
        <w:t>ceux</w:t>
      </w:r>
      <w:r>
        <w:rPr>
          <w:rFonts w:ascii="Arial" w:hAnsi="Arial" w:cs="Arial"/>
        </w:rPr>
        <w:t xml:space="preserve"> de Paris qui représente </w:t>
      </w:r>
      <w:r w:rsidRPr="00C52520">
        <w:rPr>
          <w:rFonts w:ascii="Arial" w:hAnsi="Arial" w:cs="Arial"/>
        </w:rPr>
        <w:t>plus de 100 000 m² de surfaces gérées</w:t>
      </w:r>
      <w:r>
        <w:rPr>
          <w:rFonts w:ascii="Arial" w:hAnsi="Arial" w:cs="Arial"/>
        </w:rPr>
        <w:t xml:space="preserve">, d’autres intervenants prendraient rapidement le relais, compte tenu de localisations </w:t>
      </w:r>
      <w:r w:rsidRPr="004715B9">
        <w:rPr>
          <w:rFonts w:ascii="Arial" w:hAnsi="Arial" w:cs="Arial"/>
        </w:rPr>
        <w:t>situé</w:t>
      </w:r>
      <w:r>
        <w:rPr>
          <w:rFonts w:ascii="Arial" w:hAnsi="Arial" w:cs="Arial"/>
        </w:rPr>
        <w:t>e</w:t>
      </w:r>
      <w:r w:rsidRPr="004715B9">
        <w:rPr>
          <w:rFonts w:ascii="Arial" w:hAnsi="Arial" w:cs="Arial"/>
        </w:rPr>
        <w:t>s dans des quartiers très attractifs.</w:t>
      </w:r>
    </w:p>
    <w:p w14:paraId="2B7B563C" w14:textId="77777777" w:rsidR="00D075AB" w:rsidRDefault="00D075AB" w:rsidP="00D075AB">
      <w:pPr>
        <w:spacing w:after="0" w:line="360" w:lineRule="auto"/>
        <w:jc w:val="both"/>
        <w:rPr>
          <w:rFonts w:ascii="Arial" w:hAnsi="Arial" w:cs="Arial"/>
        </w:rPr>
      </w:pPr>
    </w:p>
    <w:p w14:paraId="35A7F8CA" w14:textId="77777777" w:rsidR="00D075AB" w:rsidRDefault="00D075AB" w:rsidP="00D075AB">
      <w:pPr>
        <w:spacing w:after="0" w:line="360" w:lineRule="auto"/>
        <w:jc w:val="both"/>
        <w:rPr>
          <w:rFonts w:ascii="Arial" w:hAnsi="Arial" w:cs="Arial"/>
        </w:rPr>
      </w:pPr>
      <w:r>
        <w:rPr>
          <w:rFonts w:ascii="Arial" w:hAnsi="Arial" w:cs="Arial"/>
        </w:rPr>
        <w:t>S’agissant du segment des commerces, il sort peu à peu de l’ornière depuis le printemps 2019. Dans ce sillage, les surfaces autorisées progresseront donc de 7,3 % en 2020, sous l’effet principalement du plan national « Action cœur de ville » permettant de déclencher d’importantes restructurations du tissu commercial de centres villes.</w:t>
      </w:r>
    </w:p>
    <w:p w14:paraId="080031AE" w14:textId="77777777" w:rsidR="00D075AB" w:rsidRDefault="00D075AB" w:rsidP="00D075AB">
      <w:pPr>
        <w:spacing w:after="0" w:line="360" w:lineRule="auto"/>
        <w:jc w:val="both"/>
        <w:rPr>
          <w:rFonts w:ascii="Arial" w:hAnsi="Arial" w:cs="Arial"/>
        </w:rPr>
      </w:pPr>
    </w:p>
    <w:p w14:paraId="0A7EA0F4" w14:textId="0F7A580B" w:rsidR="00D075AB" w:rsidRDefault="00D075AB" w:rsidP="00D075AB">
      <w:pPr>
        <w:spacing w:after="0" w:line="360" w:lineRule="auto"/>
        <w:jc w:val="both"/>
        <w:rPr>
          <w:rFonts w:ascii="Arial" w:hAnsi="Arial" w:cs="Arial"/>
        </w:rPr>
      </w:pPr>
      <w:r>
        <w:rPr>
          <w:rFonts w:ascii="Arial" w:hAnsi="Arial" w:cs="Arial"/>
        </w:rPr>
        <w:t xml:space="preserve">Enfin, sans surprise, les autorisations de bâtiments administratifs s’afficheront en territoire négatif, </w:t>
      </w:r>
      <w:proofErr w:type="gramStart"/>
      <w:r>
        <w:rPr>
          <w:rFonts w:ascii="Arial" w:hAnsi="Arial" w:cs="Arial"/>
        </w:rPr>
        <w:t>à</w:t>
      </w:r>
      <w:proofErr w:type="gramEnd"/>
      <w:r>
        <w:rPr>
          <w:rFonts w:ascii="Arial" w:hAnsi="Arial" w:cs="Arial"/>
        </w:rPr>
        <w:t xml:space="preserve"> -4,5 %. De fait, ce segment subira l’effet habituel des élections municipales de mars, avec gel de tous les nouveaux projets, en attendant que les nouvelles équipes se mettent en place. </w:t>
      </w:r>
    </w:p>
    <w:p w14:paraId="63906194" w14:textId="77777777" w:rsidR="000931A1" w:rsidRDefault="000931A1" w:rsidP="00D075AB">
      <w:pPr>
        <w:spacing w:after="0" w:line="360" w:lineRule="auto"/>
        <w:jc w:val="both"/>
        <w:rPr>
          <w:rFonts w:ascii="Arial" w:hAnsi="Arial" w:cs="Arial"/>
        </w:rPr>
      </w:pPr>
    </w:p>
    <w:p w14:paraId="36F161B8" w14:textId="7955F324" w:rsidR="00D075AB" w:rsidRDefault="00D075AB" w:rsidP="00D075AB">
      <w:pPr>
        <w:spacing w:after="0" w:line="360" w:lineRule="auto"/>
        <w:jc w:val="both"/>
        <w:rPr>
          <w:rFonts w:ascii="Arial" w:hAnsi="Arial" w:cs="Arial"/>
        </w:rPr>
      </w:pPr>
      <w:r>
        <w:rPr>
          <w:rFonts w:ascii="Arial" w:hAnsi="Arial" w:cs="Arial"/>
        </w:rPr>
        <w:t xml:space="preserve">Pour ce qui concerne les surfaces mises en chantier, hors locaux agricoles, elles progresseront de 3,0 % en 2020, portant leur niveau à 21,6 millions de m², encore </w:t>
      </w:r>
      <w:r w:rsidRPr="00DC6D78">
        <w:rPr>
          <w:rFonts w:ascii="Arial" w:hAnsi="Arial" w:cs="Arial"/>
        </w:rPr>
        <w:t xml:space="preserve">bien loin des </w:t>
      </w:r>
      <w:r>
        <w:rPr>
          <w:rFonts w:ascii="Arial" w:hAnsi="Arial" w:cs="Arial"/>
        </w:rPr>
        <w:t xml:space="preserve">26,2 millions de m² relevés en moyenne sur la précédente période d’expansion 1998-2007. En détail, les bâtiments industriels et assimilés afficheront encore une croissance soutenue, </w:t>
      </w:r>
      <w:proofErr w:type="gramStart"/>
      <w:r>
        <w:rPr>
          <w:rFonts w:ascii="Arial" w:hAnsi="Arial" w:cs="Arial"/>
        </w:rPr>
        <w:t>à</w:t>
      </w:r>
      <w:proofErr w:type="gramEnd"/>
      <w:r w:rsidR="00BE1867">
        <w:rPr>
          <w:rFonts w:ascii="Arial" w:hAnsi="Arial" w:cs="Arial"/>
        </w:rPr>
        <w:t xml:space="preserve"> </w:t>
      </w:r>
      <w:r>
        <w:rPr>
          <w:rFonts w:ascii="Arial" w:hAnsi="Arial" w:cs="Arial"/>
        </w:rPr>
        <w:t>+5,3 %, en lien avec la bonne tenue des permis durant l’année 2019. Suivront les commerces qui, après deux années de baisse, ressortiront en hausse de 2,9 %. Enfin, les bâtiments administratifs et bureaux resteront quasi-stables avec des évolutions respectives de 0,9 % et 0,2 %.</w:t>
      </w:r>
    </w:p>
    <w:p w14:paraId="653EA8B5" w14:textId="77777777" w:rsidR="00D075AB" w:rsidRDefault="00D075AB" w:rsidP="00D075AB">
      <w:pPr>
        <w:spacing w:after="0" w:line="360" w:lineRule="auto"/>
        <w:jc w:val="both"/>
        <w:rPr>
          <w:rFonts w:ascii="Arial" w:hAnsi="Arial" w:cs="Arial"/>
        </w:rPr>
      </w:pPr>
    </w:p>
    <w:tbl>
      <w:tblPr>
        <w:tblStyle w:val="Grilledutableau"/>
        <w:tblW w:w="0" w:type="auto"/>
        <w:tblLook w:val="04A0" w:firstRow="1" w:lastRow="0" w:firstColumn="1" w:lastColumn="0" w:noHBand="0" w:noVBand="1"/>
      </w:tblPr>
      <w:tblGrid>
        <w:gridCol w:w="9062"/>
      </w:tblGrid>
      <w:tr w:rsidR="00D075AB" w14:paraId="68381739" w14:textId="77777777" w:rsidTr="00005480">
        <w:tc>
          <w:tcPr>
            <w:tcW w:w="9062" w:type="dxa"/>
          </w:tcPr>
          <w:p w14:paraId="2FDB11EE" w14:textId="77777777" w:rsidR="00D075AB" w:rsidRDefault="00D075AB" w:rsidP="00005480">
            <w:pPr>
              <w:spacing w:line="360" w:lineRule="auto"/>
              <w:jc w:val="both"/>
              <w:rPr>
                <w:rFonts w:ascii="Arial" w:hAnsi="Arial" w:cs="Arial"/>
                <w:u w:val="single"/>
              </w:rPr>
            </w:pPr>
            <w:r>
              <w:rPr>
                <w:rFonts w:ascii="Arial" w:hAnsi="Arial" w:cs="Arial"/>
                <w:u w:val="single"/>
              </w:rPr>
              <w:t xml:space="preserve">Encadré 3. Un nécessaire recalage des données officielles de surfaces mises en chantier de bâtiments non résidentiels. </w:t>
            </w:r>
          </w:p>
          <w:p w14:paraId="024B99B4" w14:textId="77777777" w:rsidR="00D075AB" w:rsidRPr="00CD5E53" w:rsidRDefault="00D075AB" w:rsidP="00005480">
            <w:pPr>
              <w:spacing w:line="360" w:lineRule="auto"/>
              <w:jc w:val="both"/>
              <w:rPr>
                <w:rFonts w:ascii="Arial" w:hAnsi="Arial" w:cs="Arial"/>
              </w:rPr>
            </w:pPr>
          </w:p>
          <w:p w14:paraId="29543162" w14:textId="309EA3CD" w:rsidR="00D075AB" w:rsidRDefault="00D075AB" w:rsidP="00005480">
            <w:pPr>
              <w:spacing w:line="360" w:lineRule="auto"/>
              <w:jc w:val="both"/>
              <w:rPr>
                <w:rFonts w:ascii="Arial" w:hAnsi="Arial" w:cs="Arial"/>
              </w:rPr>
            </w:pPr>
            <w:r>
              <w:rPr>
                <w:rFonts w:ascii="Arial" w:hAnsi="Arial" w:cs="Arial"/>
              </w:rPr>
              <w:lastRenderedPageBreak/>
              <w:t>Comme déjà signalé par la FFB lors de sa conférence de presse de septembre 2019, dans les bases de données officielles, d</w:t>
            </w:r>
            <w:r w:rsidRPr="00CD5E53">
              <w:rPr>
                <w:rFonts w:ascii="Arial" w:hAnsi="Arial" w:cs="Arial"/>
              </w:rPr>
              <w:t>epuis 201</w:t>
            </w:r>
            <w:r>
              <w:rPr>
                <w:rFonts w:ascii="Arial" w:hAnsi="Arial" w:cs="Arial"/>
              </w:rPr>
              <w:t>0</w:t>
            </w:r>
            <w:r w:rsidRPr="00CD5E53">
              <w:rPr>
                <w:rFonts w:ascii="Arial" w:hAnsi="Arial" w:cs="Arial"/>
              </w:rPr>
              <w:t xml:space="preserve">, </w:t>
            </w:r>
            <w:r>
              <w:rPr>
                <w:rFonts w:ascii="Arial" w:hAnsi="Arial" w:cs="Arial"/>
              </w:rPr>
              <w:t xml:space="preserve">le volume des mises en chantier dans </w:t>
            </w:r>
            <w:proofErr w:type="gramStart"/>
            <w:r>
              <w:rPr>
                <w:rFonts w:ascii="Arial" w:hAnsi="Arial" w:cs="Arial"/>
              </w:rPr>
              <w:t>le non résidentiel</w:t>
            </w:r>
            <w:proofErr w:type="gramEnd"/>
            <w:r>
              <w:rPr>
                <w:rFonts w:ascii="Arial" w:hAnsi="Arial" w:cs="Arial"/>
              </w:rPr>
              <w:t xml:space="preserve"> peine à suivre celui des permis. </w:t>
            </w:r>
            <w:r w:rsidR="00BE1867">
              <w:rPr>
                <w:rFonts w:ascii="Arial" w:hAnsi="Arial" w:cs="Arial"/>
              </w:rPr>
              <w:t>En d’autres termes</w:t>
            </w:r>
            <w:r>
              <w:rPr>
                <w:rFonts w:ascii="Arial" w:hAnsi="Arial" w:cs="Arial"/>
              </w:rPr>
              <w:t xml:space="preserve">, </w:t>
            </w:r>
            <w:r w:rsidRPr="00CD5E53">
              <w:rPr>
                <w:rFonts w:ascii="Arial" w:hAnsi="Arial" w:cs="Arial"/>
              </w:rPr>
              <w:t>le ratio entre surfaces autorisées et surfaces commencées</w:t>
            </w:r>
            <w:r>
              <w:rPr>
                <w:rFonts w:ascii="Arial" w:hAnsi="Arial" w:cs="Arial"/>
              </w:rPr>
              <w:t xml:space="preserve"> de bâtiments non résidentiels (hors agricole)</w:t>
            </w:r>
            <w:r w:rsidRPr="00CD5E53">
              <w:rPr>
                <w:rFonts w:ascii="Arial" w:hAnsi="Arial" w:cs="Arial"/>
              </w:rPr>
              <w:t xml:space="preserve"> </w:t>
            </w:r>
            <w:r w:rsidR="00BE1867">
              <w:rPr>
                <w:rFonts w:ascii="Arial" w:hAnsi="Arial" w:cs="Arial"/>
              </w:rPr>
              <w:t xml:space="preserve">sort nettement </w:t>
            </w:r>
            <w:r w:rsidRPr="00CD5E53">
              <w:rPr>
                <w:rFonts w:ascii="Arial" w:hAnsi="Arial" w:cs="Arial"/>
              </w:rPr>
              <w:t xml:space="preserve">de </w:t>
            </w:r>
            <w:r>
              <w:rPr>
                <w:rFonts w:ascii="Arial" w:hAnsi="Arial" w:cs="Arial"/>
              </w:rPr>
              <w:t>son intervalle de confiance défini sur plus de vingt ans (cf. graphique E.2).</w:t>
            </w:r>
            <w:r w:rsidRPr="00CD5E53">
              <w:rPr>
                <w:rFonts w:ascii="Arial" w:hAnsi="Arial" w:cs="Arial"/>
              </w:rPr>
              <w:t xml:space="preserve"> </w:t>
            </w:r>
          </w:p>
          <w:p w14:paraId="1DF74FC7" w14:textId="77777777" w:rsidR="00D075AB" w:rsidRDefault="00D075AB" w:rsidP="00005480">
            <w:pPr>
              <w:spacing w:line="360" w:lineRule="auto"/>
              <w:jc w:val="both"/>
              <w:rPr>
                <w:rFonts w:ascii="Arial" w:hAnsi="Arial" w:cs="Arial"/>
              </w:rPr>
            </w:pPr>
          </w:p>
          <w:p w14:paraId="33BC413D" w14:textId="77777777" w:rsidR="00D075AB" w:rsidRDefault="00D075AB" w:rsidP="00005480">
            <w:pPr>
              <w:spacing w:line="360" w:lineRule="auto"/>
              <w:jc w:val="center"/>
              <w:rPr>
                <w:rFonts w:ascii="Arial" w:hAnsi="Arial" w:cs="Arial"/>
              </w:rPr>
            </w:pPr>
            <w:r>
              <w:rPr>
                <w:rFonts w:ascii="Arial" w:hAnsi="Arial" w:cs="Arial"/>
              </w:rPr>
              <w:t xml:space="preserve">Graphique E.2 – </w:t>
            </w:r>
            <w:r w:rsidRPr="00CD5E53">
              <w:rPr>
                <w:rFonts w:ascii="Arial" w:hAnsi="Arial" w:cs="Arial"/>
                <w:b/>
              </w:rPr>
              <w:t>Ratio entre surfaces autorisées et commencées de bâtiments non résidentiels neufs</w:t>
            </w:r>
            <w:r>
              <w:rPr>
                <w:rFonts w:ascii="Arial" w:hAnsi="Arial" w:cs="Arial"/>
              </w:rPr>
              <w:t xml:space="preserve"> (hors locaux agricoles)</w:t>
            </w:r>
          </w:p>
          <w:p w14:paraId="581F80A0" w14:textId="77777777" w:rsidR="00D075AB" w:rsidRDefault="00D075AB" w:rsidP="00005480">
            <w:pPr>
              <w:spacing w:line="360" w:lineRule="auto"/>
              <w:jc w:val="both"/>
              <w:rPr>
                <w:rFonts w:ascii="Arial" w:hAnsi="Arial" w:cs="Arial"/>
              </w:rPr>
            </w:pPr>
            <w:r w:rsidRPr="003456C4">
              <w:rPr>
                <w:rFonts w:ascii="Arial" w:hAnsi="Arial" w:cs="Arial"/>
                <w:noProof/>
                <w:lang w:eastAsia="fr-FR"/>
              </w:rPr>
              <w:drawing>
                <wp:inline distT="0" distB="0" distL="0" distR="0" wp14:anchorId="633FF90E" wp14:editId="2842763D">
                  <wp:extent cx="5583600" cy="2962800"/>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3600" cy="2962800"/>
                          </a:xfrm>
                          <a:prstGeom prst="rect">
                            <a:avLst/>
                          </a:prstGeom>
                          <a:noFill/>
                          <a:ln>
                            <a:noFill/>
                          </a:ln>
                        </pic:spPr>
                      </pic:pic>
                    </a:graphicData>
                  </a:graphic>
                </wp:inline>
              </w:drawing>
            </w:r>
          </w:p>
          <w:p w14:paraId="53CED35D" w14:textId="77777777" w:rsidR="00964197" w:rsidRPr="00D976ED" w:rsidRDefault="00964197" w:rsidP="00964197">
            <w:pPr>
              <w:spacing w:line="360" w:lineRule="auto"/>
              <w:jc w:val="center"/>
              <w:rPr>
                <w:rFonts w:ascii="Arial" w:hAnsi="Arial" w:cs="Arial"/>
                <w:i/>
                <w:sz w:val="20"/>
              </w:rPr>
            </w:pPr>
            <w:r w:rsidRPr="00D976ED">
              <w:rPr>
                <w:rFonts w:ascii="Arial" w:hAnsi="Arial" w:cs="Arial"/>
                <w:i/>
                <w:sz w:val="20"/>
              </w:rPr>
              <w:t>Source : FFB à partir de MTES/CGDD/SDES, Sit@del2</w:t>
            </w:r>
          </w:p>
          <w:p w14:paraId="6042A65C" w14:textId="77777777" w:rsidR="00D075AB" w:rsidRDefault="00D075AB" w:rsidP="00005480">
            <w:pPr>
              <w:spacing w:line="360" w:lineRule="auto"/>
              <w:jc w:val="both"/>
              <w:rPr>
                <w:rFonts w:ascii="Arial" w:hAnsi="Arial" w:cs="Arial"/>
              </w:rPr>
            </w:pPr>
          </w:p>
          <w:p w14:paraId="77F4FB39" w14:textId="6F405951" w:rsidR="00D075AB" w:rsidRDefault="00D075AB" w:rsidP="00005480">
            <w:pPr>
              <w:spacing w:line="360" w:lineRule="auto"/>
              <w:jc w:val="both"/>
              <w:rPr>
                <w:rFonts w:ascii="Arial" w:hAnsi="Arial" w:cs="Arial"/>
              </w:rPr>
            </w:pPr>
            <w:r>
              <w:rPr>
                <w:rFonts w:ascii="Arial" w:hAnsi="Arial" w:cs="Arial"/>
              </w:rPr>
              <w:t>Ainsi, alors que sur la période 1986-2010, de l’ordre de 18 % des surfaces autorisées ne débouchaient pas en travaux, ce chiffre atteint 40 % en moyenne depuis. Rien ne justifie économiquement une telle évolution qui, observée sur près de dix ans, relève</w:t>
            </w:r>
            <w:r w:rsidR="00BE1867">
              <w:rPr>
                <w:rFonts w:ascii="Arial" w:hAnsi="Arial" w:cs="Arial"/>
              </w:rPr>
              <w:t>rait</w:t>
            </w:r>
            <w:r>
              <w:rPr>
                <w:rFonts w:ascii="Arial" w:hAnsi="Arial" w:cs="Arial"/>
              </w:rPr>
              <w:t xml:space="preserve"> de la tendance.</w:t>
            </w:r>
          </w:p>
          <w:p w14:paraId="0C56B7D1" w14:textId="50FECB69" w:rsidR="00D075AB" w:rsidRDefault="00D075AB" w:rsidP="00005480">
            <w:pPr>
              <w:spacing w:line="360" w:lineRule="auto"/>
              <w:jc w:val="both"/>
              <w:rPr>
                <w:rFonts w:ascii="Arial" w:hAnsi="Arial" w:cs="Arial"/>
              </w:rPr>
            </w:pPr>
            <w:r>
              <w:rPr>
                <w:rFonts w:ascii="Arial" w:hAnsi="Arial" w:cs="Arial"/>
              </w:rPr>
              <w:t xml:space="preserve">Un constat similaire se dégage pour le logement sur la base de données en date de prise en compte (cf. graphique E.3). En </w:t>
            </w:r>
            <w:r w:rsidR="00BE1867">
              <w:rPr>
                <w:rFonts w:ascii="Arial" w:hAnsi="Arial" w:cs="Arial"/>
              </w:rPr>
              <w:t>revanche</w:t>
            </w:r>
            <w:r>
              <w:rPr>
                <w:rFonts w:ascii="Arial" w:hAnsi="Arial" w:cs="Arial"/>
              </w:rPr>
              <w:t xml:space="preserve">, les données en date réelle estimée, soit celles qui sont aujourd’hui largement publiées et commentées, ne souffrent pas des mêmes maux, le ratio restant bien contenu dans son intervalle de confiance calculé sur l’ensemble de la période 1986-2018. </w:t>
            </w:r>
          </w:p>
          <w:p w14:paraId="75D67502" w14:textId="77777777" w:rsidR="00D075AB" w:rsidRDefault="00D075AB" w:rsidP="00005480">
            <w:pPr>
              <w:spacing w:line="360" w:lineRule="auto"/>
              <w:jc w:val="both"/>
              <w:rPr>
                <w:rFonts w:ascii="Arial" w:hAnsi="Arial" w:cs="Arial"/>
              </w:rPr>
            </w:pPr>
          </w:p>
          <w:p w14:paraId="767C9B9B" w14:textId="77777777" w:rsidR="00964197" w:rsidRDefault="00964197" w:rsidP="00005480">
            <w:pPr>
              <w:spacing w:line="360" w:lineRule="auto"/>
              <w:jc w:val="center"/>
              <w:rPr>
                <w:rFonts w:ascii="Arial" w:hAnsi="Arial" w:cs="Arial"/>
              </w:rPr>
            </w:pPr>
          </w:p>
          <w:p w14:paraId="466D6FA0" w14:textId="77777777" w:rsidR="00964197" w:rsidRDefault="00964197" w:rsidP="00005480">
            <w:pPr>
              <w:spacing w:line="360" w:lineRule="auto"/>
              <w:jc w:val="center"/>
              <w:rPr>
                <w:rFonts w:ascii="Arial" w:hAnsi="Arial" w:cs="Arial"/>
              </w:rPr>
            </w:pPr>
          </w:p>
          <w:p w14:paraId="27829F5F" w14:textId="77777777" w:rsidR="00964197" w:rsidRDefault="00964197" w:rsidP="00005480">
            <w:pPr>
              <w:spacing w:line="360" w:lineRule="auto"/>
              <w:jc w:val="center"/>
              <w:rPr>
                <w:rFonts w:ascii="Arial" w:hAnsi="Arial" w:cs="Arial"/>
              </w:rPr>
            </w:pPr>
          </w:p>
          <w:p w14:paraId="7075E34B" w14:textId="77777777" w:rsidR="00964197" w:rsidRDefault="00964197" w:rsidP="00005480">
            <w:pPr>
              <w:spacing w:line="360" w:lineRule="auto"/>
              <w:jc w:val="center"/>
              <w:rPr>
                <w:rFonts w:ascii="Arial" w:hAnsi="Arial" w:cs="Arial"/>
              </w:rPr>
            </w:pPr>
          </w:p>
          <w:p w14:paraId="49C77FE5" w14:textId="77777777" w:rsidR="00964197" w:rsidRDefault="00964197" w:rsidP="00005480">
            <w:pPr>
              <w:spacing w:line="360" w:lineRule="auto"/>
              <w:jc w:val="center"/>
              <w:rPr>
                <w:rFonts w:ascii="Arial" w:hAnsi="Arial" w:cs="Arial"/>
              </w:rPr>
            </w:pPr>
          </w:p>
          <w:p w14:paraId="1EDB14BC" w14:textId="77777777" w:rsidR="00964197" w:rsidRDefault="00964197" w:rsidP="00005480">
            <w:pPr>
              <w:spacing w:line="360" w:lineRule="auto"/>
              <w:jc w:val="center"/>
              <w:rPr>
                <w:rFonts w:ascii="Arial" w:hAnsi="Arial" w:cs="Arial"/>
              </w:rPr>
            </w:pPr>
          </w:p>
          <w:p w14:paraId="384207A8" w14:textId="77777777" w:rsidR="007764D4" w:rsidRDefault="007764D4" w:rsidP="00005480">
            <w:pPr>
              <w:spacing w:line="360" w:lineRule="auto"/>
              <w:jc w:val="center"/>
              <w:rPr>
                <w:rFonts w:ascii="Arial" w:hAnsi="Arial" w:cs="Arial"/>
              </w:rPr>
            </w:pPr>
          </w:p>
          <w:p w14:paraId="3F53D4BF" w14:textId="19850344" w:rsidR="00D075AB" w:rsidRDefault="00D075AB" w:rsidP="00005480">
            <w:pPr>
              <w:spacing w:line="360" w:lineRule="auto"/>
              <w:jc w:val="center"/>
              <w:rPr>
                <w:rFonts w:ascii="Arial" w:hAnsi="Arial" w:cs="Arial"/>
              </w:rPr>
            </w:pPr>
            <w:r>
              <w:rPr>
                <w:rFonts w:ascii="Arial" w:hAnsi="Arial" w:cs="Arial"/>
              </w:rPr>
              <w:t xml:space="preserve">Graphique E.3 – </w:t>
            </w:r>
            <w:r w:rsidRPr="00CD5E53">
              <w:rPr>
                <w:rFonts w:ascii="Arial" w:hAnsi="Arial" w:cs="Arial"/>
                <w:b/>
              </w:rPr>
              <w:t xml:space="preserve">Ratio entre </w:t>
            </w:r>
            <w:r>
              <w:rPr>
                <w:rFonts w:ascii="Arial" w:hAnsi="Arial" w:cs="Arial"/>
                <w:b/>
              </w:rPr>
              <w:t xml:space="preserve">autorisations </w:t>
            </w:r>
            <w:r w:rsidRPr="00CD5E53">
              <w:rPr>
                <w:rFonts w:ascii="Arial" w:hAnsi="Arial" w:cs="Arial"/>
                <w:b/>
              </w:rPr>
              <w:t xml:space="preserve">et </w:t>
            </w:r>
            <w:r>
              <w:rPr>
                <w:rFonts w:ascii="Arial" w:hAnsi="Arial" w:cs="Arial"/>
                <w:b/>
              </w:rPr>
              <w:t>mises en chantier de logements</w:t>
            </w:r>
          </w:p>
          <w:p w14:paraId="0E158984" w14:textId="77777777" w:rsidR="00D075AB" w:rsidRDefault="00D075AB" w:rsidP="00005480">
            <w:pPr>
              <w:spacing w:line="360" w:lineRule="auto"/>
              <w:jc w:val="both"/>
              <w:rPr>
                <w:rFonts w:ascii="Arial" w:hAnsi="Arial" w:cs="Arial"/>
              </w:rPr>
            </w:pPr>
            <w:r w:rsidRPr="00385C7A">
              <w:rPr>
                <w:rFonts w:ascii="Arial" w:hAnsi="Arial" w:cs="Arial"/>
                <w:noProof/>
                <w:lang w:eastAsia="fr-FR"/>
              </w:rPr>
              <w:drawing>
                <wp:inline distT="0" distB="0" distL="0" distR="0" wp14:anchorId="18BEC812" wp14:editId="6A0E2012">
                  <wp:extent cx="5594400" cy="2952000"/>
                  <wp:effectExtent l="0" t="0" r="635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4400" cy="2952000"/>
                          </a:xfrm>
                          <a:prstGeom prst="rect">
                            <a:avLst/>
                          </a:prstGeom>
                          <a:noFill/>
                          <a:ln>
                            <a:noFill/>
                          </a:ln>
                        </pic:spPr>
                      </pic:pic>
                    </a:graphicData>
                  </a:graphic>
                </wp:inline>
              </w:drawing>
            </w:r>
          </w:p>
          <w:p w14:paraId="6B495688" w14:textId="77777777" w:rsidR="00D075AB" w:rsidRPr="0077177C" w:rsidRDefault="00D075AB" w:rsidP="00005480">
            <w:pPr>
              <w:spacing w:line="360" w:lineRule="auto"/>
              <w:jc w:val="center"/>
              <w:rPr>
                <w:rFonts w:ascii="Arial" w:hAnsi="Arial" w:cs="Arial"/>
                <w:i/>
                <w:sz w:val="20"/>
                <w:szCs w:val="20"/>
              </w:rPr>
            </w:pPr>
            <w:r w:rsidRPr="0077177C">
              <w:rPr>
                <w:rFonts w:ascii="Arial" w:hAnsi="Arial" w:cs="Arial"/>
                <w:i/>
                <w:sz w:val="20"/>
                <w:szCs w:val="20"/>
              </w:rPr>
              <w:t>Source : MTES/CGDD/SDES, Sit@del2</w:t>
            </w:r>
          </w:p>
          <w:p w14:paraId="7789877B" w14:textId="77777777" w:rsidR="00D075AB" w:rsidRDefault="00D075AB" w:rsidP="00005480">
            <w:pPr>
              <w:spacing w:line="360" w:lineRule="auto"/>
              <w:jc w:val="both"/>
              <w:rPr>
                <w:rFonts w:ascii="Arial" w:hAnsi="Arial" w:cs="Arial"/>
              </w:rPr>
            </w:pPr>
          </w:p>
          <w:p w14:paraId="721F5F0F" w14:textId="1C57A2E4" w:rsidR="00D075AB" w:rsidRDefault="00D075AB" w:rsidP="00005480">
            <w:pPr>
              <w:spacing w:line="360" w:lineRule="auto"/>
              <w:jc w:val="both"/>
              <w:rPr>
                <w:rFonts w:ascii="Arial" w:hAnsi="Arial" w:cs="Arial"/>
              </w:rPr>
            </w:pPr>
            <w:r>
              <w:rPr>
                <w:rFonts w:ascii="Arial" w:hAnsi="Arial" w:cs="Arial"/>
              </w:rPr>
              <w:t xml:space="preserve">La correction apportée aux données brutes de mises en chantier de logement par le Service de </w:t>
            </w:r>
            <w:r w:rsidRPr="006875CB">
              <w:rPr>
                <w:rFonts w:ascii="Arial" w:hAnsi="Arial" w:cs="Arial"/>
              </w:rPr>
              <w:t>la donnée et des études statistiques</w:t>
            </w:r>
            <w:r>
              <w:rPr>
                <w:rFonts w:ascii="Arial" w:hAnsi="Arial" w:cs="Arial"/>
              </w:rPr>
              <w:t xml:space="preserve"> mériterait donc d’être étendue au non résidentiel neuf.</w:t>
            </w:r>
          </w:p>
          <w:p w14:paraId="388EB983" w14:textId="77777777" w:rsidR="00D075AB" w:rsidRDefault="00D075AB" w:rsidP="00005480">
            <w:pPr>
              <w:spacing w:line="360" w:lineRule="auto"/>
              <w:jc w:val="both"/>
              <w:rPr>
                <w:rFonts w:ascii="Arial" w:hAnsi="Arial" w:cs="Arial"/>
              </w:rPr>
            </w:pPr>
          </w:p>
          <w:p w14:paraId="566FA231" w14:textId="5AE441A0" w:rsidR="00D075AB" w:rsidRDefault="00D075AB" w:rsidP="00005480">
            <w:pPr>
              <w:spacing w:line="360" w:lineRule="auto"/>
              <w:jc w:val="both"/>
              <w:rPr>
                <w:rFonts w:ascii="Arial" w:hAnsi="Arial" w:cs="Arial"/>
              </w:rPr>
            </w:pPr>
            <w:r>
              <w:rPr>
                <w:rFonts w:ascii="Arial" w:hAnsi="Arial" w:cs="Arial"/>
              </w:rPr>
              <w:t>Dans cette attente, on observe que, côté logement, opérer une translation des données de mises en chantier brutes permettant de ramener la moyenne du ratio 2010-2019 à celle du ratio 1986-2009 constitue une première approche : le ratio en « date de prise en compte corrigé » ressort assez proche de celui mesuré en date réelle estimée.</w:t>
            </w:r>
          </w:p>
          <w:p w14:paraId="13AE1635" w14:textId="77777777" w:rsidR="00D075AB" w:rsidRDefault="00D075AB" w:rsidP="00005480">
            <w:pPr>
              <w:spacing w:line="360" w:lineRule="auto"/>
              <w:jc w:val="both"/>
              <w:rPr>
                <w:rFonts w:ascii="Arial" w:hAnsi="Arial" w:cs="Arial"/>
              </w:rPr>
            </w:pPr>
          </w:p>
          <w:p w14:paraId="1896B205" w14:textId="01B66FD8" w:rsidR="00D075AB" w:rsidRPr="00CB6B4B" w:rsidRDefault="00D075AB" w:rsidP="00BE1867">
            <w:pPr>
              <w:spacing w:line="360" w:lineRule="auto"/>
              <w:jc w:val="both"/>
              <w:rPr>
                <w:rFonts w:ascii="Arial" w:hAnsi="Arial" w:cs="Arial"/>
              </w:rPr>
            </w:pPr>
            <w:r>
              <w:rPr>
                <w:rFonts w:ascii="Arial" w:hAnsi="Arial" w:cs="Arial"/>
              </w:rPr>
              <w:t>Cette méthode, certes frustre, peut être appliquée au non résidentiel. Les surfaces commencées s’en trouvent alors majorées depuis 2010. Au global, en intégrant cette correction, le chiffre d’affaires du bâtiment en 2018 s’élève aux environs de 143 milliards d’euros, contre 140 estimé avec les données non corrigées. Par ailleurs, u</w:t>
            </w:r>
            <w:r w:rsidRPr="00CD5E53">
              <w:rPr>
                <w:rFonts w:ascii="Arial" w:hAnsi="Arial" w:cs="Arial"/>
              </w:rPr>
              <w:t>n peu plus de 2</w:t>
            </w:r>
            <w:r>
              <w:rPr>
                <w:rFonts w:ascii="Arial" w:hAnsi="Arial" w:cs="Arial"/>
              </w:rPr>
              <w:t>6</w:t>
            </w:r>
            <w:r w:rsidRPr="00CD5E53">
              <w:rPr>
                <w:rFonts w:ascii="Arial" w:hAnsi="Arial" w:cs="Arial"/>
              </w:rPr>
              <w:t xml:space="preserve"> millions de m² </w:t>
            </w:r>
            <w:r>
              <w:rPr>
                <w:rFonts w:ascii="Arial" w:hAnsi="Arial" w:cs="Arial"/>
              </w:rPr>
              <w:t>de surfaces de bâtiments non résidentiels hors locaux agricoles seront en réalité commencées en 2020. C’est cette estimation que nous avons retenue pour calculer le niveau d’activité de construction neuve de bâtiments non résidentiels.</w:t>
            </w:r>
          </w:p>
        </w:tc>
      </w:tr>
    </w:tbl>
    <w:p w14:paraId="4ADFC265" w14:textId="77777777" w:rsidR="00D075AB" w:rsidRDefault="00D075AB" w:rsidP="00D075AB">
      <w:pPr>
        <w:rPr>
          <w:rFonts w:ascii="Arial" w:hAnsi="Arial" w:cs="Arial"/>
          <w:u w:val="single"/>
        </w:rPr>
      </w:pPr>
    </w:p>
    <w:p w14:paraId="05316A9F" w14:textId="4EED6757" w:rsidR="00D075AB" w:rsidRDefault="00D075AB" w:rsidP="00D075AB">
      <w:pPr>
        <w:spacing w:after="0" w:line="360" w:lineRule="auto"/>
        <w:jc w:val="both"/>
        <w:rPr>
          <w:rFonts w:ascii="Arial" w:hAnsi="Arial" w:cs="Arial"/>
        </w:rPr>
      </w:pPr>
      <w:r>
        <w:rPr>
          <w:rFonts w:ascii="Arial" w:hAnsi="Arial" w:cs="Arial"/>
        </w:rPr>
        <w:lastRenderedPageBreak/>
        <w:t xml:space="preserve">En termes d’activité, le non résidentiel neuf s’affichera encore en croissance de 2,8 % en volume en 2020, après respectivement +6,0 % et +5,1 % en 2018 et 2019. Les bâtiments industriels et assimilés enregistreront la plus forte hausse, </w:t>
      </w:r>
      <w:proofErr w:type="gramStart"/>
      <w:r>
        <w:rPr>
          <w:rFonts w:ascii="Arial" w:hAnsi="Arial" w:cs="Arial"/>
        </w:rPr>
        <w:t>à</w:t>
      </w:r>
      <w:proofErr w:type="gramEnd"/>
      <w:r>
        <w:rPr>
          <w:rFonts w:ascii="Arial" w:hAnsi="Arial" w:cs="Arial"/>
        </w:rPr>
        <w:t xml:space="preserve"> +5,8 %, suivis par les bâtiments administratifs à +3,3 %. Les bureaux et commerces se stabiliseront peu ou prou, à respectivement +0,8 % et +0,2 %.</w:t>
      </w:r>
    </w:p>
    <w:p w14:paraId="53D405A4" w14:textId="77777777" w:rsidR="007764D4" w:rsidRDefault="007764D4" w:rsidP="00D075AB">
      <w:pPr>
        <w:spacing w:after="0" w:line="360" w:lineRule="auto"/>
        <w:jc w:val="both"/>
        <w:rPr>
          <w:rFonts w:ascii="Arial" w:hAnsi="Arial" w:cs="Arial"/>
        </w:rPr>
      </w:pPr>
    </w:p>
    <w:p w14:paraId="07E9410B" w14:textId="77777777" w:rsidR="00D075AB" w:rsidRPr="00D30915" w:rsidRDefault="00D075AB" w:rsidP="00D075AB">
      <w:pPr>
        <w:rPr>
          <w:rFonts w:ascii="Arial" w:hAnsi="Arial" w:cs="Arial"/>
          <w:u w:val="single"/>
        </w:rPr>
      </w:pPr>
      <w:r>
        <w:rPr>
          <w:rFonts w:ascii="Arial" w:hAnsi="Arial" w:cs="Arial"/>
          <w:u w:val="single"/>
        </w:rPr>
        <w:t xml:space="preserve">3.3 </w:t>
      </w:r>
      <w:r w:rsidRPr="00D30915">
        <w:rPr>
          <w:rFonts w:ascii="Arial" w:hAnsi="Arial" w:cs="Arial"/>
          <w:u w:val="single"/>
        </w:rPr>
        <w:t>L’amélioration-entretien</w:t>
      </w:r>
    </w:p>
    <w:p w14:paraId="1A70FC05" w14:textId="77777777" w:rsidR="00D075AB" w:rsidRDefault="00D075AB" w:rsidP="00D075AB">
      <w:pPr>
        <w:spacing w:after="0" w:line="360" w:lineRule="auto"/>
        <w:jc w:val="both"/>
        <w:rPr>
          <w:rFonts w:ascii="Arial" w:hAnsi="Arial" w:cs="Arial"/>
        </w:rPr>
      </w:pPr>
    </w:p>
    <w:p w14:paraId="7B81080E" w14:textId="77777777" w:rsidR="00D075AB" w:rsidRDefault="00D075AB" w:rsidP="00D075AB">
      <w:pPr>
        <w:spacing w:after="0" w:line="360" w:lineRule="auto"/>
        <w:jc w:val="both"/>
        <w:rPr>
          <w:rFonts w:ascii="Arial" w:hAnsi="Arial" w:cs="Arial"/>
        </w:rPr>
      </w:pPr>
      <w:r w:rsidRPr="00526F53">
        <w:rPr>
          <w:rFonts w:ascii="Arial" w:hAnsi="Arial" w:cs="Arial"/>
        </w:rPr>
        <w:t>S’</w:t>
      </w:r>
      <w:r>
        <w:rPr>
          <w:rFonts w:ascii="Arial" w:hAnsi="Arial" w:cs="Arial"/>
        </w:rPr>
        <w:t>agissant du logement, l’activité en amélioration-entretien ressortira en hausse de 0,9 % en 2020.</w:t>
      </w:r>
    </w:p>
    <w:p w14:paraId="201F02CA" w14:textId="1CB9748B" w:rsidR="00D075AB" w:rsidRDefault="00D075AB" w:rsidP="00D075AB">
      <w:pPr>
        <w:spacing w:after="0" w:line="360" w:lineRule="auto"/>
        <w:jc w:val="both"/>
        <w:rPr>
          <w:rFonts w:ascii="Arial" w:hAnsi="Arial" w:cs="Arial"/>
        </w:rPr>
      </w:pPr>
      <w:r>
        <w:rPr>
          <w:rFonts w:ascii="Arial" w:hAnsi="Arial" w:cs="Arial"/>
        </w:rPr>
        <w:t xml:space="preserve">Le segment de la rénovation énergétique des logements pâtira immanquablement de la réforme du CITE, et plus particulièrement de l’exclusion des ménages les plus aisés du dispositif, hors rénovations lourdes (et plus encore si ce dernier champ </w:t>
      </w:r>
      <w:r w:rsidR="00BE1867">
        <w:rPr>
          <w:rFonts w:ascii="Arial" w:hAnsi="Arial" w:cs="Arial"/>
        </w:rPr>
        <w:t>dispara</w:t>
      </w:r>
      <w:r w:rsidR="00660BB7">
        <w:rPr>
          <w:rFonts w:ascii="Arial" w:hAnsi="Arial" w:cs="Arial"/>
        </w:rPr>
        <w:t>î</w:t>
      </w:r>
      <w:r w:rsidR="00BE1867">
        <w:rPr>
          <w:rFonts w:ascii="Arial" w:hAnsi="Arial" w:cs="Arial"/>
        </w:rPr>
        <w:t>t</w:t>
      </w:r>
      <w:r>
        <w:rPr>
          <w:rFonts w:ascii="Arial" w:hAnsi="Arial" w:cs="Arial"/>
        </w:rPr>
        <w:t xml:space="preserve"> de la version finale de la Loi de finances pour 2020). De fait, ces ménages, parce qu’ils </w:t>
      </w:r>
      <w:r w:rsidR="00583064">
        <w:rPr>
          <w:rFonts w:ascii="Arial" w:hAnsi="Arial" w:cs="Arial"/>
        </w:rPr>
        <w:t>s</w:t>
      </w:r>
      <w:r>
        <w:rPr>
          <w:rFonts w:ascii="Arial" w:hAnsi="Arial" w:cs="Arial"/>
        </w:rPr>
        <w:t xml:space="preserve">ont le plus souvent propriétaires de leur bien et disposent de quelques moyens pour financer le reste à charge des opérations, réalisent aujourd’hui la moitié du volume des travaux d’efficacité énergétique avec CITE. Toutefois, le choc se trouvera amorti au premier semestre par un surplus d’activité </w:t>
      </w:r>
      <w:r w:rsidR="00BE1867">
        <w:rPr>
          <w:rFonts w:ascii="Arial" w:hAnsi="Arial" w:cs="Arial"/>
        </w:rPr>
        <w:t>lié aux</w:t>
      </w:r>
      <w:r>
        <w:rPr>
          <w:rFonts w:ascii="Arial" w:hAnsi="Arial" w:cs="Arial"/>
        </w:rPr>
        <w:t xml:space="preserve"> nombreuses prises de commandes avec acompte signées au cours du quatrième trimestre 2019, afin de bénéficier d</w:t>
      </w:r>
      <w:r w:rsidR="00583064">
        <w:rPr>
          <w:rFonts w:ascii="Arial" w:hAnsi="Arial" w:cs="Arial"/>
        </w:rPr>
        <w:t>u</w:t>
      </w:r>
      <w:r>
        <w:rPr>
          <w:rFonts w:ascii="Arial" w:hAnsi="Arial" w:cs="Arial"/>
        </w:rPr>
        <w:t xml:space="preserve"> régime plus favorable du CITE. Au global, sur l’ensemble de l’année 2020, la rénovation énergétique des logements progressera modestement, de 0,6 % à prix constants.</w:t>
      </w:r>
    </w:p>
    <w:p w14:paraId="60BAC30B" w14:textId="4061F28C" w:rsidR="00D075AB" w:rsidRDefault="00D075AB" w:rsidP="00D075AB">
      <w:pPr>
        <w:spacing w:after="0" w:line="360" w:lineRule="auto"/>
        <w:jc w:val="both"/>
        <w:rPr>
          <w:rFonts w:ascii="Arial" w:hAnsi="Arial" w:cs="Arial"/>
        </w:rPr>
      </w:pPr>
      <w:r>
        <w:rPr>
          <w:rFonts w:ascii="Arial" w:hAnsi="Arial" w:cs="Arial"/>
        </w:rPr>
        <w:t>Quant au</w:t>
      </w:r>
      <w:r w:rsidR="00D77EF4">
        <w:rPr>
          <w:rFonts w:ascii="Arial" w:hAnsi="Arial" w:cs="Arial"/>
        </w:rPr>
        <w:t>x</w:t>
      </w:r>
      <w:r>
        <w:rPr>
          <w:rFonts w:ascii="Arial" w:hAnsi="Arial" w:cs="Arial"/>
        </w:rPr>
        <w:t xml:space="preserve"> autres travaux </w:t>
      </w:r>
      <w:r w:rsidR="00D77EF4">
        <w:rPr>
          <w:rFonts w:ascii="Arial" w:hAnsi="Arial" w:cs="Arial"/>
        </w:rPr>
        <w:t xml:space="preserve">sur le </w:t>
      </w:r>
      <w:r>
        <w:rPr>
          <w:rFonts w:ascii="Arial" w:hAnsi="Arial" w:cs="Arial"/>
        </w:rPr>
        <w:t>logement, il</w:t>
      </w:r>
      <w:r w:rsidR="007764D4">
        <w:rPr>
          <w:rFonts w:ascii="Arial" w:hAnsi="Arial" w:cs="Arial"/>
        </w:rPr>
        <w:t>s</w:t>
      </w:r>
      <w:r>
        <w:rPr>
          <w:rFonts w:ascii="Arial" w:hAnsi="Arial" w:cs="Arial"/>
        </w:rPr>
        <w:t xml:space="preserve"> bénéficier</w:t>
      </w:r>
      <w:r w:rsidR="00D77EF4">
        <w:rPr>
          <w:rFonts w:ascii="Arial" w:hAnsi="Arial" w:cs="Arial"/>
        </w:rPr>
        <w:t>ont</w:t>
      </w:r>
      <w:r>
        <w:rPr>
          <w:rFonts w:ascii="Arial" w:hAnsi="Arial" w:cs="Arial"/>
        </w:rPr>
        <w:t xml:space="preserve"> enfin </w:t>
      </w:r>
      <w:r w:rsidRPr="00F7121E">
        <w:rPr>
          <w:rFonts w:ascii="Arial" w:hAnsi="Arial" w:cs="Arial"/>
        </w:rPr>
        <w:t>du niveau historiquement haut des transactions dans l’</w:t>
      </w:r>
      <w:r>
        <w:rPr>
          <w:rFonts w:ascii="Arial" w:hAnsi="Arial" w:cs="Arial"/>
        </w:rPr>
        <w:t>ancien réalisées depuis trois ans (964 000 en 2017, 965 000 en 2018 et plus d’1 million en 2019, cf. graphique 13). L’Observatoire de la production de crédits immobiliers (OPCI) semble le confirmer avec un relèvement progressif des crédits immobiliers pour travaux seuls depuis le printemps</w:t>
      </w:r>
      <w:r w:rsidR="00583064">
        <w:rPr>
          <w:rFonts w:ascii="Arial" w:hAnsi="Arial" w:cs="Arial"/>
        </w:rPr>
        <w:t xml:space="preserve"> </w:t>
      </w:r>
      <w:r>
        <w:rPr>
          <w:rFonts w:ascii="Arial" w:hAnsi="Arial" w:cs="Arial"/>
        </w:rPr>
        <w:t xml:space="preserve">2019, après des années de </w:t>
      </w:r>
      <w:r w:rsidR="00D77EF4">
        <w:rPr>
          <w:rFonts w:ascii="Arial" w:hAnsi="Arial" w:cs="Arial"/>
        </w:rPr>
        <w:t>marché déprimé</w:t>
      </w:r>
      <w:r>
        <w:rPr>
          <w:rFonts w:ascii="Arial" w:hAnsi="Arial" w:cs="Arial"/>
        </w:rPr>
        <w:t xml:space="preserve">. L’essor attendu des dépenses de consommation des ménages à des fins de travaux dans le logement (voir partie 2) aussi. Avec une hypothèse prudente, on retient, pour 2020, une croissance de 1,2 % des travaux de logement hors efficacité énergétique. </w:t>
      </w:r>
    </w:p>
    <w:p w14:paraId="422E8CBB" w14:textId="77777777" w:rsidR="00583064" w:rsidRDefault="00583064">
      <w:pPr>
        <w:rPr>
          <w:rFonts w:ascii="Arial" w:hAnsi="Arial" w:cs="Arial"/>
        </w:rPr>
      </w:pPr>
      <w:r>
        <w:rPr>
          <w:rFonts w:ascii="Arial" w:hAnsi="Arial" w:cs="Arial"/>
        </w:rPr>
        <w:br w:type="page"/>
      </w:r>
    </w:p>
    <w:p w14:paraId="77D957A8" w14:textId="7FB79DD2" w:rsidR="00D075AB" w:rsidRDefault="00D075AB" w:rsidP="00D075AB">
      <w:pPr>
        <w:spacing w:after="0" w:line="360" w:lineRule="auto"/>
        <w:jc w:val="center"/>
        <w:rPr>
          <w:rFonts w:ascii="Arial" w:hAnsi="Arial" w:cs="Arial"/>
        </w:rPr>
      </w:pPr>
      <w:r>
        <w:rPr>
          <w:rFonts w:ascii="Arial" w:hAnsi="Arial" w:cs="Arial"/>
        </w:rPr>
        <w:lastRenderedPageBreak/>
        <w:t xml:space="preserve">Graphique 13 – </w:t>
      </w:r>
      <w:r w:rsidRPr="004715B9">
        <w:rPr>
          <w:rFonts w:ascii="Arial" w:hAnsi="Arial" w:cs="Arial"/>
          <w:b/>
        </w:rPr>
        <w:t>Nombre de transactions de logements anciens</w:t>
      </w:r>
    </w:p>
    <w:p w14:paraId="6804BFFD" w14:textId="6BB474FD" w:rsidR="00D075AB" w:rsidRDefault="00C21947" w:rsidP="00D075AB">
      <w:pPr>
        <w:spacing w:after="0" w:line="360" w:lineRule="auto"/>
        <w:jc w:val="both"/>
        <w:rPr>
          <w:rFonts w:ascii="Arial" w:hAnsi="Arial" w:cs="Arial"/>
        </w:rPr>
      </w:pPr>
      <w:r w:rsidRPr="00C21947">
        <w:rPr>
          <w:rFonts w:ascii="Arial" w:hAnsi="Arial" w:cs="Arial"/>
          <w:noProof/>
          <w:lang w:eastAsia="fr-FR"/>
        </w:rPr>
        <w:drawing>
          <wp:inline distT="0" distB="0" distL="0" distR="0" wp14:anchorId="510E2DD7" wp14:editId="5436EE7B">
            <wp:extent cx="5760720" cy="305138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51381"/>
                    </a:xfrm>
                    <a:prstGeom prst="rect">
                      <a:avLst/>
                    </a:prstGeom>
                    <a:noFill/>
                    <a:ln>
                      <a:noFill/>
                    </a:ln>
                  </pic:spPr>
                </pic:pic>
              </a:graphicData>
            </a:graphic>
          </wp:inline>
        </w:drawing>
      </w:r>
    </w:p>
    <w:p w14:paraId="194645C6" w14:textId="77777777" w:rsidR="00D075AB" w:rsidRPr="004715B9" w:rsidRDefault="00D075AB" w:rsidP="00D075AB">
      <w:pPr>
        <w:spacing w:after="0" w:line="360" w:lineRule="auto"/>
        <w:jc w:val="center"/>
        <w:rPr>
          <w:rFonts w:ascii="Arial" w:hAnsi="Arial" w:cs="Arial"/>
          <w:i/>
          <w:sz w:val="20"/>
          <w:szCs w:val="20"/>
        </w:rPr>
      </w:pPr>
      <w:r w:rsidRPr="004715B9">
        <w:rPr>
          <w:rFonts w:ascii="Arial" w:hAnsi="Arial" w:cs="Arial"/>
          <w:i/>
          <w:sz w:val="20"/>
          <w:szCs w:val="20"/>
        </w:rPr>
        <w:t xml:space="preserve">Source : MTES/CGEDD d'après </w:t>
      </w:r>
      <w:r>
        <w:rPr>
          <w:rFonts w:ascii="Arial" w:hAnsi="Arial" w:cs="Arial"/>
          <w:i/>
          <w:sz w:val="20"/>
          <w:szCs w:val="20"/>
        </w:rPr>
        <w:t>Direction générale des finances publiques (</w:t>
      </w:r>
      <w:proofErr w:type="spellStart"/>
      <w:r w:rsidRPr="004715B9">
        <w:rPr>
          <w:rFonts w:ascii="Arial" w:hAnsi="Arial" w:cs="Arial"/>
          <w:i/>
          <w:sz w:val="20"/>
          <w:szCs w:val="20"/>
        </w:rPr>
        <w:t>DGFiP</w:t>
      </w:r>
      <w:proofErr w:type="spellEnd"/>
      <w:r>
        <w:rPr>
          <w:rFonts w:ascii="Arial" w:hAnsi="Arial" w:cs="Arial"/>
          <w:i/>
          <w:sz w:val="20"/>
          <w:szCs w:val="20"/>
        </w:rPr>
        <w:t>)</w:t>
      </w:r>
      <w:r w:rsidRPr="004715B9">
        <w:rPr>
          <w:rFonts w:ascii="Arial" w:hAnsi="Arial" w:cs="Arial"/>
          <w:i/>
          <w:sz w:val="20"/>
          <w:szCs w:val="20"/>
        </w:rPr>
        <w:t xml:space="preserve"> et bases notariales </w:t>
      </w:r>
    </w:p>
    <w:p w14:paraId="37EF6FE2" w14:textId="77777777" w:rsidR="00D075AB" w:rsidRDefault="00D075AB" w:rsidP="00D075AB">
      <w:pPr>
        <w:spacing w:after="0" w:line="360" w:lineRule="auto"/>
        <w:jc w:val="both"/>
        <w:rPr>
          <w:rFonts w:ascii="Arial" w:hAnsi="Arial" w:cs="Arial"/>
        </w:rPr>
      </w:pPr>
    </w:p>
    <w:p w14:paraId="77A3F85B" w14:textId="77777777" w:rsidR="00D075AB" w:rsidRPr="00F7121E" w:rsidRDefault="00D075AB" w:rsidP="00D075AB">
      <w:pPr>
        <w:spacing w:after="0" w:line="360" w:lineRule="auto"/>
        <w:jc w:val="both"/>
        <w:rPr>
          <w:rFonts w:ascii="Arial" w:hAnsi="Arial" w:cs="Arial"/>
        </w:rPr>
      </w:pPr>
      <w:r>
        <w:rPr>
          <w:rFonts w:ascii="Arial" w:hAnsi="Arial" w:cs="Arial"/>
        </w:rPr>
        <w:t xml:space="preserve">S’agissant du non résidentiel, le volume des travaux d’amélioration-entretien s’affichera en hausse de 0,9 % en 2020, dans la lignée de ce qui s’est observé en 2019. </w:t>
      </w:r>
      <w:r w:rsidRPr="00A94C63">
        <w:rPr>
          <w:rFonts w:ascii="Arial" w:hAnsi="Arial" w:cs="Arial"/>
        </w:rPr>
        <w:t xml:space="preserve">En détail, du côté des bâtiments industriels et des bureaux, comme de tradition, les entreprises clientes, plus sensibles au neuf, ressortiront encore peu enclines à réaliser de gros travaux de rénovation de locaux existants. S’agissant de la commande publique, comme déjà mentionné pour le neuf, elle pâtira des élections municipales qui freineront d’autant le volume de travaux réalisés. Le seul véritable relais se trouvera du côté des commerces qui bénéficieront des effets multiplicateurs de travaux liés aux programmes de revitalisation des </w:t>
      </w:r>
      <w:proofErr w:type="spellStart"/>
      <w:r w:rsidRPr="00A94C63">
        <w:rPr>
          <w:rFonts w:ascii="Arial" w:hAnsi="Arial" w:cs="Arial"/>
        </w:rPr>
        <w:t>centres-villes</w:t>
      </w:r>
      <w:proofErr w:type="spellEnd"/>
      <w:r w:rsidRPr="00A94C63">
        <w:rPr>
          <w:rFonts w:ascii="Arial" w:hAnsi="Arial" w:cs="Arial"/>
        </w:rPr>
        <w:t xml:space="preserve"> et centres-bourg et au PNRU II.</w:t>
      </w:r>
    </w:p>
    <w:p w14:paraId="687BB14B" w14:textId="77777777" w:rsidR="00D075AB" w:rsidRDefault="00D075AB" w:rsidP="00D075AB">
      <w:pPr>
        <w:spacing w:after="0" w:line="360" w:lineRule="auto"/>
        <w:jc w:val="both"/>
        <w:rPr>
          <w:rFonts w:ascii="Arial" w:hAnsi="Arial" w:cs="Arial"/>
        </w:rPr>
      </w:pPr>
    </w:p>
    <w:p w14:paraId="6C4D7C5C" w14:textId="77777777" w:rsidR="00D075AB" w:rsidRDefault="00D075AB" w:rsidP="00D075AB">
      <w:pPr>
        <w:spacing w:after="0" w:line="360" w:lineRule="auto"/>
        <w:jc w:val="both"/>
        <w:rPr>
          <w:rFonts w:ascii="Arial" w:hAnsi="Arial" w:cs="Arial"/>
        </w:rPr>
      </w:pPr>
      <w:r w:rsidRPr="00470C50">
        <w:rPr>
          <w:rFonts w:ascii="Arial" w:hAnsi="Arial" w:cs="Arial"/>
        </w:rPr>
        <w:t xml:space="preserve">Au global, </w:t>
      </w:r>
      <w:r>
        <w:rPr>
          <w:rFonts w:ascii="Arial" w:hAnsi="Arial" w:cs="Arial"/>
        </w:rPr>
        <w:t>le</w:t>
      </w:r>
      <w:r w:rsidRPr="00470C50">
        <w:rPr>
          <w:rFonts w:ascii="Arial" w:hAnsi="Arial" w:cs="Arial"/>
        </w:rPr>
        <w:t xml:space="preserve"> </w:t>
      </w:r>
      <w:r>
        <w:rPr>
          <w:rFonts w:ascii="Arial" w:hAnsi="Arial" w:cs="Arial"/>
        </w:rPr>
        <w:t xml:space="preserve">marché </w:t>
      </w:r>
      <w:r w:rsidRPr="00470C50">
        <w:rPr>
          <w:rFonts w:ascii="Arial" w:hAnsi="Arial" w:cs="Arial"/>
        </w:rPr>
        <w:t xml:space="preserve">de l’amélioration-entretien </w:t>
      </w:r>
      <w:r>
        <w:rPr>
          <w:rFonts w:ascii="Arial" w:hAnsi="Arial" w:cs="Arial"/>
        </w:rPr>
        <w:t>connaîtra une hausse de</w:t>
      </w:r>
      <w:r w:rsidRPr="00470C50">
        <w:rPr>
          <w:rFonts w:ascii="Arial" w:hAnsi="Arial" w:cs="Arial"/>
        </w:rPr>
        <w:t xml:space="preserve"> 0,</w:t>
      </w:r>
      <w:r>
        <w:rPr>
          <w:rFonts w:ascii="Arial" w:hAnsi="Arial" w:cs="Arial"/>
        </w:rPr>
        <w:t>9 % en volume en 2020</w:t>
      </w:r>
      <w:r w:rsidRPr="00470C50">
        <w:rPr>
          <w:rFonts w:ascii="Arial" w:hAnsi="Arial" w:cs="Arial"/>
        </w:rPr>
        <w:t>.</w:t>
      </w:r>
    </w:p>
    <w:p w14:paraId="73A8C7C2" w14:textId="77777777" w:rsidR="00D075AB" w:rsidRDefault="00D075AB" w:rsidP="00D075AB">
      <w:pPr>
        <w:rPr>
          <w:rFonts w:ascii="Arial" w:hAnsi="Arial" w:cs="Arial"/>
          <w:u w:val="single"/>
        </w:rPr>
      </w:pPr>
    </w:p>
    <w:p w14:paraId="2D0464E0" w14:textId="77777777" w:rsidR="00D075AB" w:rsidRPr="00474534" w:rsidRDefault="00D075AB" w:rsidP="00D075AB">
      <w:pPr>
        <w:spacing w:after="0" w:line="360" w:lineRule="auto"/>
        <w:jc w:val="both"/>
        <w:rPr>
          <w:rFonts w:ascii="Arial" w:hAnsi="Arial" w:cs="Arial"/>
          <w:u w:val="single"/>
        </w:rPr>
      </w:pPr>
      <w:r>
        <w:rPr>
          <w:rFonts w:ascii="Arial" w:hAnsi="Arial" w:cs="Arial"/>
          <w:u w:val="single"/>
        </w:rPr>
        <w:t>3</w:t>
      </w:r>
      <w:r w:rsidRPr="00474534">
        <w:rPr>
          <w:rFonts w:ascii="Arial" w:hAnsi="Arial" w:cs="Arial"/>
          <w:u w:val="single"/>
        </w:rPr>
        <w:t>.</w:t>
      </w:r>
      <w:r>
        <w:rPr>
          <w:rFonts w:ascii="Arial" w:hAnsi="Arial" w:cs="Arial"/>
          <w:u w:val="single"/>
        </w:rPr>
        <w:t>4</w:t>
      </w:r>
      <w:r w:rsidRPr="00474534">
        <w:rPr>
          <w:rFonts w:ascii="Arial" w:hAnsi="Arial" w:cs="Arial"/>
          <w:u w:val="single"/>
        </w:rPr>
        <w:t xml:space="preserve"> Le bâtiment</w:t>
      </w:r>
    </w:p>
    <w:p w14:paraId="1C9EA18B" w14:textId="77777777" w:rsidR="00D075AB" w:rsidRDefault="00D075AB" w:rsidP="00D075AB">
      <w:pPr>
        <w:spacing w:after="0" w:line="360" w:lineRule="auto"/>
        <w:jc w:val="both"/>
        <w:rPr>
          <w:rFonts w:ascii="Arial" w:hAnsi="Arial" w:cs="Arial"/>
        </w:rPr>
      </w:pPr>
    </w:p>
    <w:p w14:paraId="0CA825DE" w14:textId="77777777" w:rsidR="00D075AB" w:rsidRDefault="00D075AB" w:rsidP="00D075AB">
      <w:pPr>
        <w:spacing w:after="0" w:line="360" w:lineRule="auto"/>
        <w:jc w:val="both"/>
        <w:rPr>
          <w:rFonts w:ascii="Arial" w:hAnsi="Arial" w:cs="Arial"/>
        </w:rPr>
      </w:pPr>
      <w:r>
        <w:rPr>
          <w:rFonts w:ascii="Arial" w:hAnsi="Arial" w:cs="Arial"/>
        </w:rPr>
        <w:t>En 2020, l’activité bâtiment progressera de 0,8 % hors effet prix, poursuivant l’atterrissage observé depuis deux ans. Comme mentionné précédemment, le logement neuf décrochera légèrement à -1,0 % après quatre années de croissance, alors le non résidentiel neuf se maintiendra en territoire positif à +2,8 % et que l’amélioration-entretien affichera +0,9 %. Le volume d’activité ressortira alors proche de celui de 2012 (cf. graphique 14).</w:t>
      </w:r>
    </w:p>
    <w:p w14:paraId="29C17D5B" w14:textId="77777777" w:rsidR="00D075AB" w:rsidRDefault="00D075AB" w:rsidP="00D075AB">
      <w:pPr>
        <w:spacing w:after="0" w:line="360" w:lineRule="auto"/>
        <w:jc w:val="center"/>
        <w:rPr>
          <w:rFonts w:ascii="Arial" w:hAnsi="Arial" w:cs="Arial"/>
        </w:rPr>
      </w:pPr>
      <w:r>
        <w:rPr>
          <w:rFonts w:ascii="Arial" w:hAnsi="Arial" w:cs="Arial"/>
        </w:rPr>
        <w:lastRenderedPageBreak/>
        <w:t xml:space="preserve">Graphique 14 – </w:t>
      </w:r>
      <w:r w:rsidRPr="00585DB7">
        <w:rPr>
          <w:rFonts w:ascii="Arial" w:hAnsi="Arial" w:cs="Arial"/>
          <w:b/>
        </w:rPr>
        <w:t>Production bâtiment et emploi</w:t>
      </w:r>
    </w:p>
    <w:p w14:paraId="7EF2DF60" w14:textId="2E99C04B" w:rsidR="00D075AB" w:rsidRDefault="00C5623E" w:rsidP="00D075AB">
      <w:pPr>
        <w:spacing w:after="0" w:line="360" w:lineRule="auto"/>
        <w:jc w:val="center"/>
        <w:rPr>
          <w:rFonts w:ascii="Arial" w:hAnsi="Arial" w:cs="Arial"/>
        </w:rPr>
      </w:pPr>
      <w:r w:rsidRPr="00C5623E">
        <w:rPr>
          <w:rFonts w:ascii="Arial" w:hAnsi="Arial" w:cs="Arial"/>
          <w:noProof/>
          <w:lang w:eastAsia="fr-FR"/>
        </w:rPr>
        <w:drawing>
          <wp:inline distT="0" distB="0" distL="0" distR="0" wp14:anchorId="24BBC504" wp14:editId="5B4CAFD4">
            <wp:extent cx="5760720" cy="289836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98362"/>
                    </a:xfrm>
                    <a:prstGeom prst="rect">
                      <a:avLst/>
                    </a:prstGeom>
                    <a:noFill/>
                    <a:ln>
                      <a:noFill/>
                    </a:ln>
                  </pic:spPr>
                </pic:pic>
              </a:graphicData>
            </a:graphic>
          </wp:inline>
        </w:drawing>
      </w:r>
    </w:p>
    <w:p w14:paraId="4670657A" w14:textId="77777777" w:rsidR="00D075AB" w:rsidRPr="00585DB7" w:rsidRDefault="00D075AB" w:rsidP="00D075AB">
      <w:pPr>
        <w:spacing w:after="0" w:line="360" w:lineRule="auto"/>
        <w:jc w:val="center"/>
        <w:rPr>
          <w:rFonts w:ascii="Arial" w:hAnsi="Arial" w:cs="Arial"/>
          <w:i/>
          <w:sz w:val="20"/>
        </w:rPr>
      </w:pPr>
      <w:r w:rsidRPr="00585DB7">
        <w:rPr>
          <w:rFonts w:ascii="Arial" w:hAnsi="Arial" w:cs="Arial"/>
          <w:i/>
          <w:sz w:val="20"/>
        </w:rPr>
        <w:t>Source : FFB</w:t>
      </w:r>
    </w:p>
    <w:p w14:paraId="60F1E00C" w14:textId="77777777" w:rsidR="00D075AB" w:rsidRDefault="00D075AB" w:rsidP="00D075AB">
      <w:pPr>
        <w:spacing w:after="0" w:line="360" w:lineRule="auto"/>
        <w:jc w:val="both"/>
        <w:rPr>
          <w:rFonts w:ascii="Arial" w:hAnsi="Arial" w:cs="Arial"/>
        </w:rPr>
      </w:pPr>
    </w:p>
    <w:p w14:paraId="3A2D0753" w14:textId="30EBE357" w:rsidR="00D075AB" w:rsidRDefault="00D075AB" w:rsidP="00D075AB">
      <w:pPr>
        <w:spacing w:after="0" w:line="360" w:lineRule="auto"/>
        <w:jc w:val="both"/>
        <w:rPr>
          <w:rFonts w:ascii="Arial" w:hAnsi="Arial" w:cs="Arial"/>
        </w:rPr>
      </w:pPr>
      <w:r>
        <w:rPr>
          <w:rFonts w:ascii="Arial" w:hAnsi="Arial" w:cs="Arial"/>
        </w:rPr>
        <w:t xml:space="preserve">Ainsi, malgré l’atterrissage du côté de la construction neuve de logements, l’activité restera soutenue en 2020, tout du moins jusqu’à l’été, comme le confirme le haut niveau des carnets de commandes des entreprises de bâtiment. C’est particulièrement le cas pour les plus de dix salariés, à 8,1 mois à fin novembre 2019, celui des artisans ressortant dans la moyenne de longue période à 3,8 mois à fin septembre 2019 (cf. graphique 15). </w:t>
      </w:r>
    </w:p>
    <w:p w14:paraId="6C7EC242" w14:textId="77777777" w:rsidR="00D075AB" w:rsidRDefault="00D075AB" w:rsidP="00D075AB">
      <w:pPr>
        <w:spacing w:after="0" w:line="360" w:lineRule="auto"/>
        <w:jc w:val="both"/>
        <w:rPr>
          <w:rFonts w:ascii="Arial" w:hAnsi="Arial" w:cs="Arial"/>
        </w:rPr>
      </w:pPr>
    </w:p>
    <w:p w14:paraId="55EF4647" w14:textId="77777777" w:rsidR="00D075AB" w:rsidRDefault="00D075AB" w:rsidP="00D075AB">
      <w:pPr>
        <w:rPr>
          <w:rFonts w:ascii="Arial" w:hAnsi="Arial" w:cs="Arial"/>
        </w:rPr>
      </w:pPr>
      <w:r>
        <w:rPr>
          <w:rFonts w:ascii="Arial" w:hAnsi="Arial" w:cs="Arial"/>
        </w:rPr>
        <w:br w:type="page"/>
      </w:r>
    </w:p>
    <w:p w14:paraId="5767E5A3" w14:textId="7D0E3733" w:rsidR="00D075AB" w:rsidRDefault="00D075AB" w:rsidP="00D075AB">
      <w:pPr>
        <w:spacing w:after="0" w:line="360" w:lineRule="auto"/>
        <w:jc w:val="center"/>
        <w:rPr>
          <w:rFonts w:ascii="Arial" w:hAnsi="Arial" w:cs="Arial"/>
        </w:rPr>
      </w:pPr>
      <w:r>
        <w:rPr>
          <w:rFonts w:ascii="Arial" w:hAnsi="Arial" w:cs="Arial"/>
        </w:rPr>
        <w:lastRenderedPageBreak/>
        <w:t>Graphique 15 –</w:t>
      </w:r>
      <w:r w:rsidR="00FE438A">
        <w:rPr>
          <w:rFonts w:ascii="Arial" w:hAnsi="Arial" w:cs="Arial"/>
          <w:b/>
        </w:rPr>
        <w:t xml:space="preserve"> C</w:t>
      </w:r>
      <w:r w:rsidRPr="00671AF0">
        <w:rPr>
          <w:rFonts w:ascii="Arial" w:hAnsi="Arial" w:cs="Arial"/>
          <w:b/>
        </w:rPr>
        <w:t>arnets de</w:t>
      </w:r>
      <w:r>
        <w:rPr>
          <w:rFonts w:ascii="Arial" w:hAnsi="Arial" w:cs="Arial"/>
          <w:b/>
        </w:rPr>
        <w:t xml:space="preserve"> commandes </w:t>
      </w:r>
      <w:r w:rsidR="008D5678">
        <w:rPr>
          <w:rFonts w:ascii="Arial" w:hAnsi="Arial" w:cs="Arial"/>
          <w:b/>
        </w:rPr>
        <w:t>des entreprises</w:t>
      </w:r>
      <w:r>
        <w:rPr>
          <w:rFonts w:ascii="Arial" w:hAnsi="Arial" w:cs="Arial"/>
          <w:b/>
        </w:rPr>
        <w:t xml:space="preserve"> de bâtiment </w:t>
      </w:r>
    </w:p>
    <w:p w14:paraId="47E181DF" w14:textId="37EABF44" w:rsidR="00D075AB" w:rsidRDefault="00FE438A" w:rsidP="00D075AB">
      <w:pPr>
        <w:spacing w:after="0" w:line="360" w:lineRule="auto"/>
        <w:jc w:val="center"/>
        <w:rPr>
          <w:rFonts w:ascii="Arial" w:hAnsi="Arial" w:cs="Arial"/>
        </w:rPr>
      </w:pPr>
      <w:r w:rsidRPr="00FE438A">
        <w:rPr>
          <w:rFonts w:ascii="Arial" w:hAnsi="Arial" w:cs="Arial"/>
          <w:noProof/>
          <w:lang w:eastAsia="fr-FR"/>
        </w:rPr>
        <w:drawing>
          <wp:inline distT="0" distB="0" distL="0" distR="0" wp14:anchorId="41B93BE2" wp14:editId="59FF4507">
            <wp:extent cx="5760720" cy="3060383"/>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14:paraId="314011D1" w14:textId="55060B8E" w:rsidR="00D075AB" w:rsidRPr="00535DD9" w:rsidRDefault="00D075AB" w:rsidP="00D075AB">
      <w:pPr>
        <w:spacing w:after="0" w:line="360" w:lineRule="auto"/>
        <w:jc w:val="center"/>
        <w:rPr>
          <w:rFonts w:ascii="Arial" w:hAnsi="Arial" w:cs="Arial"/>
          <w:i/>
          <w:sz w:val="20"/>
        </w:rPr>
      </w:pPr>
      <w:r w:rsidRPr="00535DD9">
        <w:rPr>
          <w:rFonts w:ascii="Arial" w:hAnsi="Arial" w:cs="Arial"/>
          <w:i/>
          <w:sz w:val="20"/>
        </w:rPr>
        <w:t>Source : Insee, enquête mensuelle de conjoncture dans le bâtiment</w:t>
      </w:r>
      <w:r w:rsidR="00FE438A">
        <w:rPr>
          <w:rFonts w:ascii="Arial" w:hAnsi="Arial" w:cs="Arial"/>
          <w:i/>
          <w:sz w:val="20"/>
        </w:rPr>
        <w:t> ; FFB</w:t>
      </w:r>
    </w:p>
    <w:p w14:paraId="01F8558C" w14:textId="77777777" w:rsidR="00D075AB" w:rsidRDefault="00D075AB" w:rsidP="00D075AB">
      <w:pPr>
        <w:spacing w:after="0" w:line="360" w:lineRule="auto"/>
        <w:jc w:val="both"/>
        <w:rPr>
          <w:rFonts w:ascii="Arial" w:hAnsi="Arial" w:cs="Arial"/>
        </w:rPr>
      </w:pPr>
    </w:p>
    <w:p w14:paraId="2EF68E70" w14:textId="77777777" w:rsidR="00D075AB" w:rsidRDefault="00D075AB" w:rsidP="00D075AB">
      <w:pPr>
        <w:spacing w:after="0" w:line="360" w:lineRule="auto"/>
        <w:jc w:val="both"/>
        <w:rPr>
          <w:rFonts w:ascii="Arial" w:hAnsi="Arial" w:cs="Arial"/>
        </w:rPr>
      </w:pPr>
      <w:r>
        <w:rPr>
          <w:rFonts w:ascii="Arial" w:hAnsi="Arial" w:cs="Arial"/>
        </w:rPr>
        <w:t>En lien avec ces perspectives d’activité toujours favorables, le secteur continuera de créer de l’emploi en 2020, à hauteur de 10 000 postes salariés et intérimaires en équivalent-emplois à temps plein (ETP), soit une progression de 0,8 %.</w:t>
      </w:r>
    </w:p>
    <w:p w14:paraId="43C32978" w14:textId="77777777" w:rsidR="00D075AB" w:rsidRDefault="00D075AB" w:rsidP="00D075AB">
      <w:pPr>
        <w:spacing w:after="0" w:line="360" w:lineRule="auto"/>
        <w:jc w:val="both"/>
        <w:rPr>
          <w:rFonts w:ascii="Arial" w:hAnsi="Arial" w:cs="Arial"/>
        </w:rPr>
      </w:pPr>
    </w:p>
    <w:p w14:paraId="311AB5B7" w14:textId="77777777" w:rsidR="00D075AB" w:rsidRDefault="00D075AB" w:rsidP="00D075A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D075AB" w:rsidRPr="00DC4924" w14:paraId="43F42C13" w14:textId="77777777" w:rsidTr="00005480">
        <w:tc>
          <w:tcPr>
            <w:tcW w:w="9062" w:type="dxa"/>
            <w:shd w:val="clear" w:color="auto" w:fill="auto"/>
          </w:tcPr>
          <w:p w14:paraId="68B9EE24" w14:textId="77777777" w:rsidR="00D075AB" w:rsidRPr="00DC4924" w:rsidRDefault="00D075AB" w:rsidP="00005480">
            <w:pPr>
              <w:spacing w:after="0" w:line="360" w:lineRule="auto"/>
              <w:jc w:val="center"/>
              <w:rPr>
                <w:rFonts w:ascii="Arial" w:eastAsia="Times New Roman" w:hAnsi="Arial" w:cs="Times New Roman"/>
                <w:b/>
                <w:u w:val="single"/>
                <w:lang w:eastAsia="fr-FR"/>
              </w:rPr>
            </w:pPr>
            <w:r w:rsidRPr="00DC4924">
              <w:rPr>
                <w:rFonts w:ascii="Arial" w:eastAsia="Times New Roman" w:hAnsi="Arial" w:cs="Times New Roman"/>
                <w:b/>
                <w:u w:val="single"/>
                <w:lang w:eastAsia="fr-FR"/>
              </w:rPr>
              <w:t>Avertissement</w:t>
            </w:r>
          </w:p>
          <w:p w14:paraId="3FF1D1EA" w14:textId="77777777" w:rsidR="00D075AB" w:rsidRPr="00DC4924" w:rsidRDefault="00D075AB" w:rsidP="00005480">
            <w:pPr>
              <w:spacing w:after="0" w:line="360" w:lineRule="auto"/>
              <w:jc w:val="both"/>
              <w:rPr>
                <w:rFonts w:ascii="Arial" w:eastAsia="Times New Roman" w:hAnsi="Arial" w:cs="Times New Roman"/>
                <w:b/>
                <w:lang w:eastAsia="fr-FR"/>
              </w:rPr>
            </w:pPr>
          </w:p>
          <w:p w14:paraId="3B0EDAFF" w14:textId="77777777" w:rsidR="00D075AB" w:rsidRPr="00DC4924" w:rsidRDefault="00D075AB" w:rsidP="00005480">
            <w:pPr>
              <w:spacing w:after="0" w:line="360" w:lineRule="auto"/>
              <w:jc w:val="both"/>
              <w:rPr>
                <w:rFonts w:ascii="Arial" w:eastAsia="Times New Roman" w:hAnsi="Arial" w:cs="Times New Roman"/>
                <w:b/>
                <w:u w:val="single"/>
                <w:lang w:eastAsia="fr-FR"/>
              </w:rPr>
            </w:pPr>
            <w:r w:rsidRPr="00DC4924">
              <w:rPr>
                <w:rFonts w:ascii="Arial" w:eastAsia="Times New Roman" w:hAnsi="Arial" w:cs="Times New Roman"/>
                <w:b/>
                <w:lang w:eastAsia="fr-FR"/>
              </w:rPr>
              <w:t xml:space="preserve">Le champ des autorisations et des mises en chantier, répertoriées dans le tableau </w:t>
            </w:r>
            <w:r>
              <w:rPr>
                <w:rFonts w:ascii="Arial" w:eastAsia="Times New Roman" w:hAnsi="Arial" w:cs="Times New Roman"/>
                <w:b/>
                <w:lang w:eastAsia="fr-FR"/>
              </w:rPr>
              <w:t>2</w:t>
            </w:r>
            <w:r w:rsidRPr="00DC4924">
              <w:rPr>
                <w:rFonts w:ascii="Arial" w:eastAsia="Times New Roman" w:hAnsi="Arial" w:cs="Times New Roman"/>
                <w:b/>
                <w:lang w:eastAsia="fr-FR"/>
              </w:rPr>
              <w:t xml:space="preserve"> qui suit comprend les DROM, de façon à être cohérent avec les statistiques Sit@del2. En revanche, les niveaux de production sont calculés sur la seule France métropolitaine. En effet, la répartition de la production par marché est calée sur une base 2007 issue de l’Enquête annuelle d’entreprise qui n’inclut pas les DROM. Nous avons donc raisonné en niveau France métropolitaine, mais en y appliquant les évolutions observées sur la France entière. Si cette méthode pose un problème théorique, il reste qu’en termes d’évolutions, l’incorporation ou non des DROM dans le calcul global ne modifie que </w:t>
            </w:r>
            <w:r>
              <w:rPr>
                <w:rFonts w:ascii="Arial" w:eastAsia="Times New Roman" w:hAnsi="Arial" w:cs="Times New Roman"/>
                <w:b/>
                <w:lang w:eastAsia="fr-FR"/>
              </w:rPr>
              <w:t xml:space="preserve">très marginalement </w:t>
            </w:r>
            <w:r w:rsidRPr="00DC4924">
              <w:rPr>
                <w:rFonts w:ascii="Arial" w:eastAsia="Times New Roman" w:hAnsi="Arial" w:cs="Times New Roman"/>
                <w:b/>
                <w:lang w:eastAsia="fr-FR"/>
              </w:rPr>
              <w:t>les résultats.</w:t>
            </w:r>
          </w:p>
        </w:tc>
      </w:tr>
    </w:tbl>
    <w:p w14:paraId="0EF6DCCB" w14:textId="77777777" w:rsidR="00D075AB" w:rsidRDefault="00D075AB" w:rsidP="001837D3">
      <w:pPr>
        <w:sectPr w:rsidR="00D075AB" w:rsidSect="00583064">
          <w:footerReference w:type="default" r:id="rId33"/>
          <w:headerReference w:type="first" r:id="rId34"/>
          <w:pgSz w:w="11906" w:h="16838"/>
          <w:pgMar w:top="1417" w:right="1417" w:bottom="1417" w:left="1417" w:header="708" w:footer="708" w:gutter="0"/>
          <w:cols w:space="708"/>
          <w:titlePg/>
          <w:docGrid w:linePitch="360"/>
        </w:sectPr>
      </w:pPr>
    </w:p>
    <w:p w14:paraId="71C531EC" w14:textId="1A13A8DD" w:rsidR="00583064" w:rsidRPr="00E958D7" w:rsidRDefault="00583064" w:rsidP="00583064">
      <w:pPr>
        <w:spacing w:after="0" w:line="360" w:lineRule="auto"/>
        <w:jc w:val="center"/>
        <w:rPr>
          <w:rFonts w:ascii="Arial" w:hAnsi="Arial" w:cs="Arial"/>
          <w:b/>
        </w:rPr>
      </w:pPr>
      <w:r>
        <w:rPr>
          <w:rFonts w:ascii="Arial" w:hAnsi="Arial" w:cs="Arial"/>
        </w:rPr>
        <w:lastRenderedPageBreak/>
        <w:t xml:space="preserve">Tableau 2 </w:t>
      </w:r>
      <w:r w:rsidRPr="009B1AD1">
        <w:rPr>
          <w:rFonts w:ascii="Arial" w:hAnsi="Arial" w:cs="Arial"/>
        </w:rPr>
        <w:t>–</w:t>
      </w:r>
      <w:r>
        <w:rPr>
          <w:rFonts w:ascii="Arial" w:hAnsi="Arial" w:cs="Arial"/>
        </w:rPr>
        <w:t xml:space="preserve"> </w:t>
      </w:r>
      <w:r w:rsidRPr="00E958D7">
        <w:rPr>
          <w:rFonts w:ascii="Arial" w:hAnsi="Arial" w:cs="Arial"/>
          <w:b/>
        </w:rPr>
        <w:t>Synthèse des prévisions</w:t>
      </w:r>
    </w:p>
    <w:p w14:paraId="2E9C611B" w14:textId="6DE02AE3" w:rsidR="00583064" w:rsidRDefault="00583064" w:rsidP="00D075AB">
      <w:pPr>
        <w:spacing w:after="0" w:line="360" w:lineRule="auto"/>
        <w:jc w:val="center"/>
        <w:rPr>
          <w:rFonts w:ascii="Arial" w:hAnsi="Arial" w:cs="Arial"/>
          <w:i/>
          <w:sz w:val="20"/>
          <w:szCs w:val="20"/>
        </w:rPr>
      </w:pPr>
      <w:r w:rsidRPr="007A392A">
        <w:rPr>
          <w:rFonts w:ascii="Arial" w:hAnsi="Arial" w:cs="Arial"/>
          <w:noProof/>
          <w:lang w:eastAsia="fr-FR"/>
        </w:rPr>
        <w:drawing>
          <wp:inline distT="0" distB="0" distL="0" distR="0" wp14:anchorId="4BDA349D" wp14:editId="0D21360B">
            <wp:extent cx="8409600" cy="5241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09600" cy="5241600"/>
                    </a:xfrm>
                    <a:prstGeom prst="rect">
                      <a:avLst/>
                    </a:prstGeom>
                    <a:noFill/>
                    <a:ln>
                      <a:noFill/>
                    </a:ln>
                  </pic:spPr>
                </pic:pic>
              </a:graphicData>
            </a:graphic>
          </wp:inline>
        </w:drawing>
      </w:r>
    </w:p>
    <w:p w14:paraId="05B521C5" w14:textId="77777777" w:rsidR="00E11534" w:rsidRDefault="00D075AB" w:rsidP="00D075AB">
      <w:pPr>
        <w:spacing w:after="0" w:line="360" w:lineRule="auto"/>
        <w:jc w:val="center"/>
        <w:rPr>
          <w:rFonts w:ascii="Arial" w:hAnsi="Arial" w:cs="Arial"/>
          <w:i/>
          <w:sz w:val="20"/>
          <w:szCs w:val="20"/>
        </w:rPr>
        <w:sectPr w:rsidR="00E11534" w:rsidSect="00D075AB">
          <w:headerReference w:type="first" r:id="rId36"/>
          <w:pgSz w:w="16838" w:h="11906" w:orient="landscape"/>
          <w:pgMar w:top="1417" w:right="1417" w:bottom="1417" w:left="1417" w:header="708" w:footer="708" w:gutter="0"/>
          <w:cols w:space="708"/>
          <w:titlePg/>
          <w:docGrid w:linePitch="360"/>
        </w:sectPr>
      </w:pPr>
      <w:r w:rsidRPr="00FF418C">
        <w:rPr>
          <w:rFonts w:ascii="Arial" w:hAnsi="Arial" w:cs="Arial"/>
          <w:i/>
          <w:sz w:val="20"/>
          <w:szCs w:val="20"/>
        </w:rPr>
        <w:t>Sources : M</w:t>
      </w:r>
      <w:r>
        <w:rPr>
          <w:rFonts w:ascii="Arial" w:hAnsi="Arial" w:cs="Arial"/>
          <w:i/>
          <w:sz w:val="20"/>
          <w:szCs w:val="20"/>
        </w:rPr>
        <w:t>TES</w:t>
      </w:r>
      <w:r w:rsidRPr="00FF418C">
        <w:rPr>
          <w:rFonts w:ascii="Arial" w:hAnsi="Arial" w:cs="Arial"/>
          <w:i/>
          <w:sz w:val="20"/>
          <w:szCs w:val="20"/>
        </w:rPr>
        <w:t>/CGDD/S</w:t>
      </w:r>
      <w:r>
        <w:rPr>
          <w:rFonts w:ascii="Arial" w:hAnsi="Arial" w:cs="Arial"/>
          <w:i/>
          <w:sz w:val="20"/>
          <w:szCs w:val="20"/>
        </w:rPr>
        <w:t>DE</w:t>
      </w:r>
      <w:r w:rsidRPr="00FF418C">
        <w:rPr>
          <w:rFonts w:ascii="Arial" w:hAnsi="Arial" w:cs="Arial"/>
          <w:i/>
          <w:sz w:val="20"/>
          <w:szCs w:val="20"/>
        </w:rPr>
        <w:t>S, Sit@del2</w:t>
      </w:r>
      <w:r>
        <w:rPr>
          <w:rFonts w:ascii="Arial" w:hAnsi="Arial" w:cs="Arial"/>
          <w:i/>
          <w:sz w:val="20"/>
          <w:szCs w:val="20"/>
        </w:rPr>
        <w:t xml:space="preserve"> et Réseau des CERC </w:t>
      </w:r>
      <w:r w:rsidRPr="00FF418C">
        <w:rPr>
          <w:rFonts w:ascii="Arial" w:hAnsi="Arial" w:cs="Arial"/>
          <w:i/>
          <w:sz w:val="20"/>
          <w:szCs w:val="20"/>
        </w:rPr>
        <w:t>(acquis)</w:t>
      </w:r>
      <w:r>
        <w:rPr>
          <w:rFonts w:ascii="Arial" w:hAnsi="Arial" w:cs="Arial"/>
          <w:i/>
          <w:sz w:val="20"/>
          <w:szCs w:val="20"/>
        </w:rPr>
        <w:t xml:space="preserve"> ; </w:t>
      </w:r>
      <w:r w:rsidRPr="00FF418C">
        <w:rPr>
          <w:rFonts w:ascii="Arial" w:hAnsi="Arial" w:cs="Arial"/>
          <w:i/>
          <w:sz w:val="20"/>
          <w:szCs w:val="20"/>
        </w:rPr>
        <w:t>FFB (estimations et prévisions)</w:t>
      </w:r>
    </w:p>
    <w:p w14:paraId="6943F327" w14:textId="77777777" w:rsidR="00E11534" w:rsidRPr="000D0A54" w:rsidRDefault="00E11534" w:rsidP="00E11534">
      <w:pPr>
        <w:pStyle w:val="Sansinterligne"/>
        <w:spacing w:line="360" w:lineRule="auto"/>
        <w:jc w:val="center"/>
        <w:rPr>
          <w:rFonts w:ascii="Arial" w:hAnsi="Arial" w:cs="Arial"/>
          <w:sz w:val="24"/>
          <w:szCs w:val="24"/>
        </w:rPr>
      </w:pPr>
      <w:r w:rsidRPr="000D0A54">
        <w:rPr>
          <w:rFonts w:ascii="Arial" w:hAnsi="Arial" w:cs="Arial"/>
          <w:sz w:val="24"/>
          <w:szCs w:val="24"/>
        </w:rPr>
        <w:lastRenderedPageBreak/>
        <w:t>Annexe</w:t>
      </w:r>
    </w:p>
    <w:p w14:paraId="6ED40F68" w14:textId="77777777" w:rsidR="00E11534" w:rsidRPr="000D0A54" w:rsidRDefault="00E11534" w:rsidP="00E11534">
      <w:pPr>
        <w:pStyle w:val="Sansinterligne"/>
        <w:spacing w:line="360" w:lineRule="auto"/>
        <w:jc w:val="center"/>
        <w:rPr>
          <w:rFonts w:ascii="Arial" w:hAnsi="Arial" w:cs="Arial"/>
          <w:b/>
          <w:sz w:val="28"/>
          <w:szCs w:val="28"/>
          <w:u w:val="single"/>
        </w:rPr>
      </w:pPr>
      <w:r w:rsidRPr="000D0A54">
        <w:rPr>
          <w:rFonts w:ascii="Arial" w:hAnsi="Arial" w:cs="Arial"/>
          <w:b/>
          <w:sz w:val="28"/>
          <w:szCs w:val="28"/>
          <w:u w:val="single"/>
        </w:rPr>
        <w:t>Prévisions d’activité : présentation de quelques modèles économétriques utilisés pour établir les prévisions</w:t>
      </w:r>
    </w:p>
    <w:p w14:paraId="58600CBB" w14:textId="77777777" w:rsidR="00E11534" w:rsidRPr="000D0A54" w:rsidRDefault="00E11534" w:rsidP="00E11534">
      <w:pPr>
        <w:pStyle w:val="Sansinterligne"/>
        <w:spacing w:line="360" w:lineRule="auto"/>
        <w:jc w:val="both"/>
        <w:rPr>
          <w:rFonts w:ascii="Arial" w:hAnsi="Arial" w:cs="Arial"/>
        </w:rPr>
      </w:pPr>
    </w:p>
    <w:p w14:paraId="77D536D3" w14:textId="77777777" w:rsidR="00E11534" w:rsidRPr="000D0A54" w:rsidRDefault="00E11534" w:rsidP="00E11534">
      <w:pPr>
        <w:pStyle w:val="Sansinterligne"/>
        <w:spacing w:line="360" w:lineRule="auto"/>
        <w:jc w:val="both"/>
        <w:rPr>
          <w:rFonts w:ascii="Arial" w:hAnsi="Arial" w:cs="Arial"/>
        </w:rPr>
      </w:pPr>
    </w:p>
    <w:p w14:paraId="49A53523" w14:textId="77777777" w:rsidR="00E11534" w:rsidRPr="000D0A54" w:rsidRDefault="00E11534" w:rsidP="00E11534">
      <w:pPr>
        <w:spacing w:after="0" w:line="360" w:lineRule="auto"/>
        <w:jc w:val="both"/>
        <w:rPr>
          <w:rFonts w:ascii="Arial" w:hAnsi="Arial" w:cs="Arial"/>
          <w:b/>
          <w:u w:val="single"/>
        </w:rPr>
      </w:pPr>
      <w:r w:rsidRPr="000D0A54">
        <w:rPr>
          <w:rFonts w:ascii="Arial" w:hAnsi="Arial" w:cs="Arial"/>
          <w:b/>
          <w:u w:val="single"/>
        </w:rPr>
        <w:t xml:space="preserve">I. Les bâtiments </w:t>
      </w:r>
      <w:r>
        <w:rPr>
          <w:rFonts w:ascii="Arial" w:hAnsi="Arial" w:cs="Arial"/>
          <w:b/>
          <w:u w:val="single"/>
        </w:rPr>
        <w:t>industriels et assimilés neufs</w:t>
      </w:r>
    </w:p>
    <w:p w14:paraId="61F45C8D" w14:textId="77777777" w:rsidR="00E11534" w:rsidRPr="000D0A54" w:rsidRDefault="00E11534" w:rsidP="00E11534">
      <w:pPr>
        <w:spacing w:after="0" w:line="360" w:lineRule="auto"/>
        <w:jc w:val="both"/>
        <w:rPr>
          <w:rFonts w:ascii="Arial" w:hAnsi="Arial" w:cs="Arial"/>
          <w:b/>
          <w:u w:val="single"/>
        </w:rPr>
      </w:pPr>
    </w:p>
    <w:p w14:paraId="768F6915" w14:textId="77777777" w:rsidR="00E11534" w:rsidRPr="00E25744" w:rsidRDefault="00E11534" w:rsidP="00E11534">
      <w:pPr>
        <w:pStyle w:val="Sansinterligne"/>
        <w:spacing w:line="360" w:lineRule="auto"/>
        <w:jc w:val="both"/>
        <w:rPr>
          <w:rFonts w:ascii="Arial" w:hAnsi="Arial" w:cs="Arial"/>
          <w:u w:val="single"/>
        </w:rPr>
      </w:pPr>
      <w:r>
        <w:rPr>
          <w:rFonts w:ascii="Arial" w:hAnsi="Arial" w:cs="Arial"/>
          <w:u w:val="single"/>
        </w:rPr>
        <w:t>I</w:t>
      </w:r>
      <w:r w:rsidRPr="00E25744">
        <w:rPr>
          <w:rFonts w:ascii="Arial" w:hAnsi="Arial" w:cs="Arial"/>
          <w:u w:val="single"/>
        </w:rPr>
        <w:t xml:space="preserve">.1 Les </w:t>
      </w:r>
      <w:proofErr w:type="gramStart"/>
      <w:r>
        <w:rPr>
          <w:rFonts w:ascii="Arial" w:hAnsi="Arial" w:cs="Arial"/>
          <w:u w:val="single"/>
        </w:rPr>
        <w:t>surfaces</w:t>
      </w:r>
      <w:proofErr w:type="gramEnd"/>
      <w:r>
        <w:rPr>
          <w:rFonts w:ascii="Arial" w:hAnsi="Arial" w:cs="Arial"/>
          <w:u w:val="single"/>
        </w:rPr>
        <w:t xml:space="preserve"> autorisées</w:t>
      </w:r>
    </w:p>
    <w:p w14:paraId="76BF3EFD" w14:textId="77777777" w:rsidR="00E11534" w:rsidRDefault="00E11534" w:rsidP="00E11534">
      <w:pPr>
        <w:pStyle w:val="Sansinterligne"/>
        <w:spacing w:line="360" w:lineRule="auto"/>
        <w:jc w:val="both"/>
        <w:rPr>
          <w:rFonts w:ascii="Arial" w:hAnsi="Arial" w:cs="Arial"/>
        </w:rPr>
      </w:pPr>
    </w:p>
    <w:p w14:paraId="21E07390" w14:textId="77777777" w:rsidR="00E11534" w:rsidRPr="00BD7D98" w:rsidRDefault="00E11534" w:rsidP="00E11534">
      <w:pPr>
        <w:pStyle w:val="Sansinterligne"/>
        <w:spacing w:line="360" w:lineRule="auto"/>
        <w:jc w:val="both"/>
        <w:rPr>
          <w:rFonts w:ascii="Arial" w:hAnsi="Arial" w:cs="Arial"/>
        </w:rPr>
      </w:pPr>
      <w:r>
        <w:rPr>
          <w:rFonts w:ascii="Arial" w:hAnsi="Arial" w:cs="Arial"/>
        </w:rPr>
        <w:t>On cherche à expliquer les surfaces trimestrielles autorisées de</w:t>
      </w:r>
      <w:r w:rsidRPr="00BD7D98">
        <w:rPr>
          <w:rFonts w:ascii="Arial" w:hAnsi="Arial" w:cs="Arial"/>
        </w:rPr>
        <w:t xml:space="preserve"> </w:t>
      </w:r>
      <w:r>
        <w:rPr>
          <w:rFonts w:ascii="Arial" w:hAnsi="Arial" w:cs="Arial"/>
        </w:rPr>
        <w:t>bâtiments industri</w:t>
      </w:r>
      <w:r w:rsidRPr="00C51300">
        <w:rPr>
          <w:rFonts w:ascii="Arial" w:hAnsi="Arial" w:cs="Arial"/>
        </w:rPr>
        <w:t>els</w:t>
      </w:r>
      <w:r>
        <w:rPr>
          <w:rFonts w:ascii="Arial" w:hAnsi="Arial" w:cs="Arial"/>
        </w:rPr>
        <w:t xml:space="preserve"> et assimilés</w:t>
      </w:r>
      <w:r>
        <w:rPr>
          <w:rStyle w:val="Appelnotedebasdep"/>
          <w:rFonts w:ascii="Arial" w:hAnsi="Arial" w:cs="Arial"/>
        </w:rPr>
        <w:footnoteReference w:id="4"/>
      </w:r>
      <w:r>
        <w:rPr>
          <w:rFonts w:ascii="Arial" w:hAnsi="Arial" w:cs="Arial"/>
        </w:rPr>
        <w:t xml:space="preserve"> publiées par le SDES,</w:t>
      </w:r>
      <w:r w:rsidRPr="00BD7D98">
        <w:rPr>
          <w:rFonts w:ascii="Arial" w:hAnsi="Arial" w:cs="Arial"/>
        </w:rPr>
        <w:t xml:space="preserve"> noté</w:t>
      </w:r>
      <w:r>
        <w:rPr>
          <w:rFonts w:ascii="Arial" w:hAnsi="Arial" w:cs="Arial"/>
        </w:rPr>
        <w:t>es</w:t>
      </w:r>
      <w:r w:rsidRPr="00BD7D98">
        <w:rPr>
          <w:rFonts w:ascii="Arial" w:hAnsi="Arial" w:cs="Arial"/>
        </w:rPr>
        <w:t xml:space="preserve"> </w:t>
      </w:r>
      <w:r w:rsidRPr="00750C1E">
        <w:rPr>
          <w:rFonts w:ascii="Arial" w:hAnsi="Arial" w:cs="Arial"/>
          <w:i/>
        </w:rPr>
        <w:t>permis</w:t>
      </w:r>
      <w:r w:rsidRPr="00BD7D98">
        <w:rPr>
          <w:rFonts w:ascii="Arial" w:hAnsi="Arial" w:cs="Arial"/>
        </w:rPr>
        <w:t xml:space="preserve">. </w:t>
      </w:r>
    </w:p>
    <w:p w14:paraId="3ABE1455" w14:textId="77777777" w:rsidR="00E11534" w:rsidRPr="00BD7D98" w:rsidRDefault="00E11534" w:rsidP="00E11534">
      <w:pPr>
        <w:pStyle w:val="Sansinterligne"/>
        <w:spacing w:line="360" w:lineRule="auto"/>
        <w:jc w:val="both"/>
        <w:rPr>
          <w:rFonts w:ascii="Arial" w:hAnsi="Arial" w:cs="Arial"/>
        </w:rPr>
      </w:pPr>
    </w:p>
    <w:p w14:paraId="291EE37C" w14:textId="77777777" w:rsidR="00E11534" w:rsidRPr="00CA4D82" w:rsidRDefault="00E11534" w:rsidP="00E11534">
      <w:pPr>
        <w:pStyle w:val="Sansinterligne"/>
        <w:spacing w:line="360" w:lineRule="auto"/>
        <w:jc w:val="both"/>
        <w:rPr>
          <w:rFonts w:ascii="Arial" w:hAnsi="Arial" w:cs="Arial"/>
        </w:rPr>
      </w:pPr>
      <w:r>
        <w:rPr>
          <w:rFonts w:ascii="Arial" w:hAnsi="Arial" w:cs="Arial"/>
        </w:rPr>
        <w:t>Trois variables explicatives ont été retenues :</w:t>
      </w:r>
    </w:p>
    <w:p w14:paraId="2109E763" w14:textId="4E9A2CE7" w:rsidR="00E11534" w:rsidRPr="00BD7D98" w:rsidRDefault="00E11534" w:rsidP="00E11534">
      <w:pPr>
        <w:pStyle w:val="Sansinterligne"/>
        <w:numPr>
          <w:ilvl w:val="0"/>
          <w:numId w:val="33"/>
        </w:numPr>
        <w:spacing w:line="360" w:lineRule="auto"/>
        <w:jc w:val="both"/>
        <w:rPr>
          <w:rFonts w:ascii="Arial" w:hAnsi="Arial" w:cs="Arial"/>
        </w:rPr>
      </w:pPr>
      <w:r>
        <w:rPr>
          <w:rFonts w:ascii="Arial" w:hAnsi="Arial" w:cs="Arial"/>
        </w:rPr>
        <w:t xml:space="preserve">les surfaces autorisées </w:t>
      </w:r>
      <w:r w:rsidRPr="00BD7D98">
        <w:rPr>
          <w:rFonts w:ascii="Arial" w:hAnsi="Arial" w:cs="Arial"/>
        </w:rPr>
        <w:t xml:space="preserve">de </w:t>
      </w:r>
      <w:r>
        <w:rPr>
          <w:rFonts w:ascii="Arial" w:hAnsi="Arial" w:cs="Arial"/>
        </w:rPr>
        <w:t>bâtiments industriels et assimilés</w:t>
      </w:r>
      <w:r w:rsidRPr="00BD7D98">
        <w:rPr>
          <w:rFonts w:ascii="Arial" w:hAnsi="Arial" w:cs="Arial"/>
        </w:rPr>
        <w:t xml:space="preserve"> du trimestre</w:t>
      </w:r>
      <w:r w:rsidR="00AA0E3F">
        <w:rPr>
          <w:rFonts w:ascii="Arial" w:hAnsi="Arial" w:cs="Arial"/>
        </w:rPr>
        <w:t xml:space="preserve"> précédent</w:t>
      </w:r>
      <w:r w:rsidRPr="00BD7D98">
        <w:rPr>
          <w:rFonts w:ascii="Arial" w:hAnsi="Arial" w:cs="Arial"/>
        </w:rPr>
        <w:t>, noté</w:t>
      </w:r>
      <w:r>
        <w:rPr>
          <w:rFonts w:ascii="Arial" w:hAnsi="Arial" w:cs="Arial"/>
        </w:rPr>
        <w:t>es</w:t>
      </w:r>
      <w:r w:rsidRPr="00BD7D98">
        <w:rPr>
          <w:rFonts w:ascii="Arial" w:hAnsi="Arial" w:cs="Arial"/>
        </w:rPr>
        <w:t xml:space="preserve"> </w:t>
      </w:r>
      <w:r w:rsidRPr="00750C1E">
        <w:rPr>
          <w:rFonts w:ascii="Arial" w:hAnsi="Arial" w:cs="Arial"/>
          <w:i/>
        </w:rPr>
        <w:t>permis1</w:t>
      </w:r>
      <w:r>
        <w:rPr>
          <w:rFonts w:ascii="Arial" w:hAnsi="Arial" w:cs="Arial"/>
          <w:i/>
        </w:rPr>
        <w:t> </w:t>
      </w:r>
      <w:r>
        <w:rPr>
          <w:rFonts w:ascii="Arial" w:hAnsi="Arial" w:cs="Arial"/>
        </w:rPr>
        <w:t>;</w:t>
      </w:r>
    </w:p>
    <w:p w14:paraId="13FE848E" w14:textId="0BB98358" w:rsidR="00E11534" w:rsidRDefault="00E11534" w:rsidP="00E11534">
      <w:pPr>
        <w:pStyle w:val="Sansinterligne"/>
        <w:numPr>
          <w:ilvl w:val="0"/>
          <w:numId w:val="33"/>
        </w:numPr>
        <w:spacing w:line="360" w:lineRule="auto"/>
        <w:jc w:val="both"/>
        <w:rPr>
          <w:rFonts w:ascii="Arial" w:hAnsi="Arial" w:cs="Arial"/>
        </w:rPr>
      </w:pPr>
      <w:r>
        <w:rPr>
          <w:rFonts w:ascii="Arial" w:hAnsi="Arial" w:cs="Arial"/>
        </w:rPr>
        <w:t>l</w:t>
      </w:r>
      <w:r w:rsidRPr="00BD7D98">
        <w:rPr>
          <w:rFonts w:ascii="Arial" w:hAnsi="Arial" w:cs="Arial"/>
        </w:rPr>
        <w:t xml:space="preserve">e taux de chômage en France métropolitaine (source </w:t>
      </w:r>
      <w:r>
        <w:rPr>
          <w:rFonts w:ascii="Arial" w:hAnsi="Arial" w:cs="Arial"/>
        </w:rPr>
        <w:t>Insee) un trimestre</w:t>
      </w:r>
      <w:r w:rsidR="00AA0E3F">
        <w:rPr>
          <w:rFonts w:ascii="Arial" w:hAnsi="Arial" w:cs="Arial"/>
        </w:rPr>
        <w:t xml:space="preserve"> auparavant</w:t>
      </w:r>
      <w:r w:rsidRPr="00BD7D98">
        <w:rPr>
          <w:rFonts w:ascii="Arial" w:hAnsi="Arial" w:cs="Arial"/>
        </w:rPr>
        <w:t xml:space="preserve">, noté </w:t>
      </w:r>
      <w:r w:rsidRPr="00750C1E">
        <w:rPr>
          <w:rFonts w:ascii="Arial" w:hAnsi="Arial" w:cs="Arial"/>
          <w:i/>
        </w:rPr>
        <w:t>chomage</w:t>
      </w:r>
      <w:r>
        <w:rPr>
          <w:rFonts w:ascii="Arial" w:hAnsi="Arial" w:cs="Arial"/>
          <w:i/>
        </w:rPr>
        <w:t>1 </w:t>
      </w:r>
      <w:r>
        <w:rPr>
          <w:rFonts w:ascii="Arial" w:hAnsi="Arial" w:cs="Arial"/>
        </w:rPr>
        <w:t>;</w:t>
      </w:r>
    </w:p>
    <w:p w14:paraId="262FE8EB" w14:textId="6028F119" w:rsidR="00E11534" w:rsidRPr="00A61D42" w:rsidRDefault="00E11534" w:rsidP="00E11534">
      <w:pPr>
        <w:pStyle w:val="Sansinterligne"/>
        <w:numPr>
          <w:ilvl w:val="0"/>
          <w:numId w:val="33"/>
        </w:numPr>
        <w:spacing w:line="360" w:lineRule="auto"/>
        <w:jc w:val="both"/>
        <w:rPr>
          <w:rFonts w:ascii="Arial" w:hAnsi="Arial" w:cs="Arial"/>
        </w:rPr>
      </w:pPr>
      <w:r>
        <w:rPr>
          <w:rFonts w:ascii="Arial" w:hAnsi="Arial" w:cs="Arial"/>
        </w:rPr>
        <w:t>l</w:t>
      </w:r>
      <w:r w:rsidRPr="00A61D42">
        <w:rPr>
          <w:rFonts w:ascii="Arial" w:hAnsi="Arial" w:cs="Arial"/>
        </w:rPr>
        <w:t xml:space="preserve">e taux d’utilisation des capacités de production </w:t>
      </w:r>
      <w:r w:rsidR="00D300BA">
        <w:rPr>
          <w:rFonts w:ascii="Arial" w:hAnsi="Arial" w:cs="Arial"/>
        </w:rPr>
        <w:t xml:space="preserve">(TUC) </w:t>
      </w:r>
      <w:r w:rsidRPr="00A61D42">
        <w:rPr>
          <w:rFonts w:ascii="Arial" w:hAnsi="Arial" w:cs="Arial"/>
        </w:rPr>
        <w:t xml:space="preserve">de l’industrie manufacturière (source Insee) décalé d’un trimestre, noté </w:t>
      </w:r>
      <w:r w:rsidRPr="00A61D42">
        <w:rPr>
          <w:rFonts w:ascii="Arial" w:hAnsi="Arial" w:cs="Arial"/>
          <w:i/>
        </w:rPr>
        <w:t>tuc_comb1</w:t>
      </w:r>
      <w:r w:rsidRPr="00A61D42">
        <w:rPr>
          <w:rFonts w:ascii="Arial" w:hAnsi="Arial" w:cs="Arial"/>
        </w:rPr>
        <w:t>. Cette donnée, telle que publiée par l’Insee, a été modifié</w:t>
      </w:r>
      <w:r>
        <w:rPr>
          <w:rFonts w:ascii="Arial" w:hAnsi="Arial" w:cs="Arial"/>
        </w:rPr>
        <w:t>e</w:t>
      </w:r>
      <w:r w:rsidRPr="00A61D42">
        <w:rPr>
          <w:rFonts w:ascii="Arial" w:hAnsi="Arial" w:cs="Arial"/>
        </w:rPr>
        <w:t xml:space="preserve"> dans le modèle utilisé. </w:t>
      </w:r>
      <w:r>
        <w:rPr>
          <w:rFonts w:ascii="Arial" w:hAnsi="Arial" w:cs="Arial"/>
        </w:rPr>
        <w:t>Plus précisément, on considère que si le TUC est supérieur ou égal à 80 %, les capacités de production entrent en zone de « surchauffe » et la variable indicatrice prend la valeur du TUC, sinon elle est nulle.</w:t>
      </w:r>
    </w:p>
    <w:p w14:paraId="17075518" w14:textId="6A23D040" w:rsidR="00E11534" w:rsidRPr="00BD7D98" w:rsidRDefault="00E11534" w:rsidP="00E11534">
      <w:pPr>
        <w:pStyle w:val="Sansinterligne"/>
        <w:spacing w:line="360" w:lineRule="auto"/>
        <w:jc w:val="both"/>
        <w:rPr>
          <w:rFonts w:ascii="Arial" w:hAnsi="Arial" w:cs="Arial"/>
        </w:rPr>
      </w:pPr>
      <w:r>
        <w:rPr>
          <w:rFonts w:ascii="Arial" w:hAnsi="Arial" w:cs="Arial"/>
        </w:rPr>
        <w:t xml:space="preserve">Une dernière variable indicatrice isolant l’effet de saisonnalité </w:t>
      </w:r>
      <w:r w:rsidR="00D300BA">
        <w:rPr>
          <w:rFonts w:ascii="Arial" w:hAnsi="Arial" w:cs="Arial"/>
        </w:rPr>
        <w:t xml:space="preserve">du premier trimestre </w:t>
      </w:r>
      <w:r>
        <w:rPr>
          <w:rFonts w:ascii="Arial" w:hAnsi="Arial" w:cs="Arial"/>
        </w:rPr>
        <w:t xml:space="preserve">a été intégrée au modèle, elle est notée </w:t>
      </w:r>
      <w:r w:rsidRPr="00C521EA">
        <w:rPr>
          <w:rFonts w:ascii="Arial" w:hAnsi="Arial" w:cs="Arial"/>
          <w:i/>
        </w:rPr>
        <w:t>trim1prime</w:t>
      </w:r>
      <w:r>
        <w:rPr>
          <w:rFonts w:ascii="Arial" w:hAnsi="Arial" w:cs="Arial"/>
        </w:rPr>
        <w:t>.</w:t>
      </w:r>
    </w:p>
    <w:p w14:paraId="0F582568" w14:textId="77777777" w:rsidR="00E11534" w:rsidRDefault="00E11534" w:rsidP="00E11534">
      <w:pPr>
        <w:pStyle w:val="Sansinterligne"/>
        <w:spacing w:line="360" w:lineRule="auto"/>
        <w:jc w:val="both"/>
        <w:rPr>
          <w:rFonts w:ascii="Arial" w:hAnsi="Arial" w:cs="Arial"/>
        </w:rPr>
      </w:pPr>
    </w:p>
    <w:p w14:paraId="439FB649" w14:textId="22233891" w:rsidR="00E11534" w:rsidRPr="00345A03" w:rsidRDefault="00E11534" w:rsidP="00E11534">
      <w:pPr>
        <w:pStyle w:val="Sansinterligne"/>
        <w:spacing w:line="360" w:lineRule="auto"/>
        <w:jc w:val="both"/>
        <w:rPr>
          <w:rFonts w:ascii="Arial" w:hAnsi="Arial" w:cs="Arial"/>
        </w:rPr>
      </w:pPr>
      <w:r w:rsidRPr="00345A03">
        <w:rPr>
          <w:rFonts w:ascii="Arial" w:hAnsi="Arial" w:cs="Arial"/>
        </w:rPr>
        <w:t xml:space="preserve">Les </w:t>
      </w:r>
      <w:r>
        <w:rPr>
          <w:rFonts w:ascii="Arial" w:hAnsi="Arial" w:cs="Arial"/>
        </w:rPr>
        <w:t>signes</w:t>
      </w:r>
      <w:r w:rsidRPr="00345A03">
        <w:rPr>
          <w:rFonts w:ascii="Arial" w:hAnsi="Arial" w:cs="Arial"/>
        </w:rPr>
        <w:t xml:space="preserve"> des coefficients semb</w:t>
      </w:r>
      <w:r>
        <w:rPr>
          <w:rFonts w:ascii="Arial" w:hAnsi="Arial" w:cs="Arial"/>
        </w:rPr>
        <w:t>lent cohérents (cf. tableau A.1</w:t>
      </w:r>
      <w:r w:rsidRPr="00345A03">
        <w:rPr>
          <w:rFonts w:ascii="Arial" w:hAnsi="Arial" w:cs="Arial"/>
        </w:rPr>
        <w:t xml:space="preserve">). Les </w:t>
      </w:r>
      <w:r>
        <w:rPr>
          <w:rFonts w:ascii="Arial" w:hAnsi="Arial" w:cs="Arial"/>
        </w:rPr>
        <w:t>surfaces autorisées</w:t>
      </w:r>
      <w:r w:rsidRPr="00345A03">
        <w:rPr>
          <w:rFonts w:ascii="Arial" w:hAnsi="Arial" w:cs="Arial"/>
        </w:rPr>
        <w:t xml:space="preserve"> de </w:t>
      </w:r>
      <w:r>
        <w:rPr>
          <w:rFonts w:ascii="Arial" w:hAnsi="Arial" w:cs="Arial"/>
        </w:rPr>
        <w:t>bâtiments industriels et assimilés</w:t>
      </w:r>
      <w:r w:rsidRPr="00345A03">
        <w:rPr>
          <w:rFonts w:ascii="Arial" w:hAnsi="Arial" w:cs="Arial"/>
        </w:rPr>
        <w:t xml:space="preserve"> </w:t>
      </w:r>
      <w:r w:rsidR="00D300BA">
        <w:rPr>
          <w:rFonts w:ascii="Arial" w:hAnsi="Arial" w:cs="Arial"/>
        </w:rPr>
        <w:t xml:space="preserve">ressortent </w:t>
      </w:r>
      <w:r>
        <w:rPr>
          <w:rFonts w:ascii="Arial" w:hAnsi="Arial" w:cs="Arial"/>
        </w:rPr>
        <w:t>ainsi</w:t>
      </w:r>
      <w:r w:rsidRPr="00345A03">
        <w:rPr>
          <w:rFonts w:ascii="Arial" w:hAnsi="Arial" w:cs="Arial"/>
        </w:rPr>
        <w:t xml:space="preserve"> lié</w:t>
      </w:r>
      <w:r w:rsidR="00D300BA">
        <w:rPr>
          <w:rFonts w:ascii="Arial" w:hAnsi="Arial" w:cs="Arial"/>
        </w:rPr>
        <w:t>e</w:t>
      </w:r>
      <w:r w:rsidRPr="00345A03">
        <w:rPr>
          <w:rFonts w:ascii="Arial" w:hAnsi="Arial" w:cs="Arial"/>
        </w:rPr>
        <w:t>s</w:t>
      </w:r>
      <w:r w:rsidR="00D300BA">
        <w:rPr>
          <w:rFonts w:ascii="Arial" w:hAnsi="Arial" w:cs="Arial"/>
        </w:rPr>
        <w:t> </w:t>
      </w:r>
      <w:r w:rsidRPr="00345A03">
        <w:rPr>
          <w:rFonts w:ascii="Arial" w:hAnsi="Arial" w:cs="Arial"/>
        </w:rPr>
        <w:t>:</w:t>
      </w:r>
    </w:p>
    <w:p w14:paraId="6120EE80" w14:textId="3C3DDAD5" w:rsidR="00E11534" w:rsidRPr="00345A03" w:rsidRDefault="00E11534" w:rsidP="00E11534">
      <w:pPr>
        <w:pStyle w:val="Sansinterligne"/>
        <w:numPr>
          <w:ilvl w:val="0"/>
          <w:numId w:val="20"/>
        </w:numPr>
        <w:spacing w:line="360" w:lineRule="auto"/>
        <w:jc w:val="both"/>
        <w:rPr>
          <w:rFonts w:ascii="Arial" w:hAnsi="Arial" w:cs="Arial"/>
        </w:rPr>
      </w:pPr>
      <w:r w:rsidRPr="00345A03">
        <w:rPr>
          <w:rFonts w:ascii="Arial" w:hAnsi="Arial" w:cs="Arial"/>
        </w:rPr>
        <w:t>positivement aux permis de construire du trimestre précédent</w:t>
      </w:r>
      <w:r w:rsidR="00D300BA">
        <w:rPr>
          <w:rFonts w:ascii="Arial" w:hAnsi="Arial" w:cs="Arial"/>
        </w:rPr>
        <w:t> </w:t>
      </w:r>
      <w:r w:rsidRPr="00345A03">
        <w:rPr>
          <w:rFonts w:ascii="Arial" w:hAnsi="Arial" w:cs="Arial"/>
        </w:rPr>
        <w:t>;</w:t>
      </w:r>
    </w:p>
    <w:p w14:paraId="476A987D" w14:textId="2C00F426" w:rsidR="00E11534" w:rsidRPr="00345A03" w:rsidRDefault="00E11534" w:rsidP="00E11534">
      <w:pPr>
        <w:pStyle w:val="Sansinterligne"/>
        <w:numPr>
          <w:ilvl w:val="0"/>
          <w:numId w:val="20"/>
        </w:numPr>
        <w:spacing w:line="360" w:lineRule="auto"/>
        <w:jc w:val="both"/>
        <w:rPr>
          <w:rFonts w:ascii="Arial" w:hAnsi="Arial" w:cs="Arial"/>
        </w:rPr>
      </w:pPr>
      <w:r w:rsidRPr="00345A03">
        <w:rPr>
          <w:rFonts w:ascii="Arial" w:hAnsi="Arial" w:cs="Arial"/>
        </w:rPr>
        <w:t>négativement au taux d</w:t>
      </w:r>
      <w:r>
        <w:rPr>
          <w:rFonts w:ascii="Arial" w:hAnsi="Arial" w:cs="Arial"/>
        </w:rPr>
        <w:t>e chômage</w:t>
      </w:r>
      <w:r w:rsidR="00D300BA">
        <w:rPr>
          <w:rFonts w:ascii="Arial" w:hAnsi="Arial" w:cs="Arial"/>
        </w:rPr>
        <w:t> </w:t>
      </w:r>
      <w:r w:rsidRPr="00345A03">
        <w:rPr>
          <w:rFonts w:ascii="Arial" w:hAnsi="Arial" w:cs="Arial"/>
        </w:rPr>
        <w:t>;</w:t>
      </w:r>
    </w:p>
    <w:p w14:paraId="5F68D424" w14:textId="77777777" w:rsidR="00E11534" w:rsidRPr="00345A03" w:rsidRDefault="00E11534" w:rsidP="00E11534">
      <w:pPr>
        <w:pStyle w:val="Sansinterligne"/>
        <w:numPr>
          <w:ilvl w:val="0"/>
          <w:numId w:val="20"/>
        </w:numPr>
        <w:spacing w:line="360" w:lineRule="auto"/>
        <w:jc w:val="both"/>
        <w:rPr>
          <w:rFonts w:ascii="Arial" w:hAnsi="Arial" w:cs="Arial"/>
        </w:rPr>
      </w:pPr>
      <w:r>
        <w:rPr>
          <w:rFonts w:ascii="Arial" w:hAnsi="Arial" w:cs="Arial"/>
        </w:rPr>
        <w:t>positivement</w:t>
      </w:r>
      <w:r w:rsidRPr="00345A03">
        <w:rPr>
          <w:rFonts w:ascii="Arial" w:hAnsi="Arial" w:cs="Arial"/>
        </w:rPr>
        <w:t xml:space="preserve"> au taux </w:t>
      </w:r>
      <w:r>
        <w:rPr>
          <w:rFonts w:ascii="Arial" w:hAnsi="Arial" w:cs="Arial"/>
        </w:rPr>
        <w:t>d’utilisation des capacités de production.</w:t>
      </w:r>
    </w:p>
    <w:p w14:paraId="539F5606" w14:textId="77777777" w:rsidR="00E11534" w:rsidRPr="00345A03" w:rsidRDefault="00E11534" w:rsidP="00E11534">
      <w:pPr>
        <w:pStyle w:val="Sansinterligne"/>
        <w:spacing w:line="360" w:lineRule="auto"/>
        <w:jc w:val="both"/>
        <w:rPr>
          <w:rFonts w:ascii="Arial" w:hAnsi="Arial" w:cs="Arial"/>
        </w:rPr>
      </w:pPr>
    </w:p>
    <w:p w14:paraId="22B40211" w14:textId="77777777" w:rsidR="00E11534" w:rsidRDefault="00E11534" w:rsidP="00E11534">
      <w:pPr>
        <w:pStyle w:val="Sansinterligne"/>
        <w:spacing w:line="360" w:lineRule="auto"/>
        <w:jc w:val="both"/>
        <w:rPr>
          <w:rFonts w:ascii="Arial" w:hAnsi="Arial" w:cs="Arial"/>
        </w:rPr>
      </w:pPr>
      <w:r w:rsidRPr="00345A03">
        <w:rPr>
          <w:rFonts w:ascii="Arial" w:hAnsi="Arial" w:cs="Arial"/>
        </w:rPr>
        <w:lastRenderedPageBreak/>
        <w:t xml:space="preserve">L’analyse des résidus fait ressortir </w:t>
      </w:r>
      <w:r>
        <w:rPr>
          <w:rFonts w:ascii="Arial" w:hAnsi="Arial" w:cs="Arial"/>
        </w:rPr>
        <w:t>quatre</w:t>
      </w:r>
      <w:r w:rsidRPr="00345A03">
        <w:rPr>
          <w:rFonts w:ascii="Arial" w:hAnsi="Arial" w:cs="Arial"/>
        </w:rPr>
        <w:t xml:space="preserve"> points </w:t>
      </w:r>
      <w:r w:rsidRPr="00A61D42">
        <w:rPr>
          <w:rFonts w:ascii="Arial" w:hAnsi="Arial" w:cs="Arial"/>
        </w:rPr>
        <w:t>aberrants aux deuxièmes trimestres des années 1988, 1990 et 1992 ainsi qu’au troisième trimestre de l’année 2017</w:t>
      </w:r>
      <w:r>
        <w:rPr>
          <w:rFonts w:ascii="Arial" w:hAnsi="Arial" w:cs="Arial"/>
        </w:rPr>
        <w:t>. O</w:t>
      </w:r>
      <w:r w:rsidRPr="00345A03">
        <w:rPr>
          <w:rFonts w:ascii="Arial" w:hAnsi="Arial" w:cs="Arial"/>
        </w:rPr>
        <w:t xml:space="preserve">n </w:t>
      </w:r>
      <w:r>
        <w:rPr>
          <w:rFonts w:ascii="Arial" w:hAnsi="Arial" w:cs="Arial"/>
        </w:rPr>
        <w:t>les corrige en introduisant quatre</w:t>
      </w:r>
      <w:r w:rsidRPr="00345A03">
        <w:rPr>
          <w:rFonts w:ascii="Arial" w:hAnsi="Arial" w:cs="Arial"/>
        </w:rPr>
        <w:t xml:space="preserve"> variables indicatrices notées </w:t>
      </w:r>
      <w:r w:rsidRPr="003472B6">
        <w:rPr>
          <w:rFonts w:ascii="Arial" w:hAnsi="Arial" w:cs="Arial"/>
          <w:i/>
        </w:rPr>
        <w:t>dum1</w:t>
      </w:r>
      <w:r>
        <w:rPr>
          <w:rFonts w:ascii="Arial" w:hAnsi="Arial" w:cs="Arial"/>
        </w:rPr>
        <w:t>,</w:t>
      </w:r>
      <w:r w:rsidRPr="00345A03">
        <w:rPr>
          <w:rFonts w:ascii="Arial" w:hAnsi="Arial" w:cs="Arial"/>
        </w:rPr>
        <w:t xml:space="preserve"> </w:t>
      </w:r>
      <w:r w:rsidRPr="003472B6">
        <w:rPr>
          <w:rFonts w:ascii="Arial" w:hAnsi="Arial" w:cs="Arial"/>
          <w:i/>
        </w:rPr>
        <w:t>dum2</w:t>
      </w:r>
      <w:r>
        <w:rPr>
          <w:rFonts w:ascii="Arial" w:hAnsi="Arial" w:cs="Arial"/>
        </w:rPr>
        <w:t xml:space="preserve">, </w:t>
      </w:r>
      <w:r w:rsidRPr="007E0B89">
        <w:rPr>
          <w:rFonts w:ascii="Arial" w:hAnsi="Arial" w:cs="Arial"/>
          <w:i/>
        </w:rPr>
        <w:t>dum3</w:t>
      </w:r>
      <w:r>
        <w:rPr>
          <w:rFonts w:ascii="Arial" w:hAnsi="Arial" w:cs="Arial"/>
        </w:rPr>
        <w:t xml:space="preserve"> et </w:t>
      </w:r>
      <w:r w:rsidRPr="007E0B89">
        <w:rPr>
          <w:rFonts w:ascii="Arial" w:hAnsi="Arial" w:cs="Arial"/>
          <w:i/>
        </w:rPr>
        <w:t>dum4</w:t>
      </w:r>
      <w:r>
        <w:rPr>
          <w:rFonts w:ascii="Arial" w:hAnsi="Arial" w:cs="Arial"/>
        </w:rPr>
        <w:t>.</w:t>
      </w:r>
    </w:p>
    <w:p w14:paraId="6EC01081" w14:textId="77777777" w:rsidR="00E11534" w:rsidRPr="00806BCF" w:rsidRDefault="00E11534" w:rsidP="00E11534">
      <w:pPr>
        <w:pStyle w:val="Sansinterligne"/>
        <w:spacing w:line="360" w:lineRule="auto"/>
        <w:jc w:val="center"/>
        <w:rPr>
          <w:rFonts w:ascii="Arial" w:hAnsi="Arial" w:cs="Arial"/>
          <w:b/>
        </w:rPr>
      </w:pPr>
      <w:r>
        <w:rPr>
          <w:rFonts w:ascii="Arial" w:hAnsi="Arial" w:cs="Arial"/>
        </w:rPr>
        <w:t xml:space="preserve">Tableau A.1 – </w:t>
      </w:r>
      <w:r w:rsidRPr="00806BCF">
        <w:rPr>
          <w:rFonts w:ascii="Arial" w:hAnsi="Arial" w:cs="Arial"/>
          <w:b/>
        </w:rPr>
        <w:t xml:space="preserve">Estimation des </w:t>
      </w:r>
      <w:r>
        <w:rPr>
          <w:rFonts w:ascii="Arial" w:hAnsi="Arial" w:cs="Arial"/>
          <w:b/>
        </w:rPr>
        <w:t>surfaces autorisées</w:t>
      </w:r>
      <w:r w:rsidRPr="00806BCF">
        <w:rPr>
          <w:rFonts w:ascii="Arial" w:hAnsi="Arial" w:cs="Arial"/>
          <w:b/>
        </w:rPr>
        <w:t xml:space="preserve"> de bâtiments industriels</w:t>
      </w:r>
      <w:r>
        <w:rPr>
          <w:rFonts w:ascii="Arial" w:hAnsi="Arial" w:cs="Arial"/>
          <w:b/>
        </w:rPr>
        <w:t xml:space="preserve"> et assimilés</w:t>
      </w:r>
    </w:p>
    <w:p w14:paraId="594605E5" w14:textId="77777777" w:rsidR="00E11534" w:rsidRDefault="00E11534" w:rsidP="00E11534">
      <w:pPr>
        <w:pStyle w:val="Sansinterligne"/>
        <w:spacing w:line="360" w:lineRule="auto"/>
        <w:jc w:val="center"/>
        <w:rPr>
          <w:rFonts w:ascii="Arial" w:hAnsi="Arial" w:cs="Arial"/>
        </w:rPr>
      </w:pPr>
      <w:r w:rsidRPr="00E643D9">
        <w:rPr>
          <w:noProof/>
          <w:lang w:eastAsia="fr-FR"/>
        </w:rPr>
        <w:drawing>
          <wp:inline distT="0" distB="0" distL="0" distR="0" wp14:anchorId="222C239B" wp14:editId="125EAF94">
            <wp:extent cx="4993200" cy="4618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3200" cy="4618800"/>
                    </a:xfrm>
                    <a:prstGeom prst="rect">
                      <a:avLst/>
                    </a:prstGeom>
                  </pic:spPr>
                </pic:pic>
              </a:graphicData>
            </a:graphic>
          </wp:inline>
        </w:drawing>
      </w:r>
    </w:p>
    <w:p w14:paraId="6E5D04B8" w14:textId="77777777" w:rsidR="00E11534" w:rsidRPr="000D0A54"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w:t>
      </w:r>
    </w:p>
    <w:p w14:paraId="018B0195" w14:textId="77777777" w:rsidR="00E11534" w:rsidRDefault="00E11534" w:rsidP="00E11534">
      <w:pPr>
        <w:pStyle w:val="Sansinterligne"/>
        <w:spacing w:line="360" w:lineRule="auto"/>
        <w:rPr>
          <w:rFonts w:ascii="Arial" w:hAnsi="Arial" w:cs="Arial"/>
        </w:rPr>
      </w:pPr>
    </w:p>
    <w:p w14:paraId="4CC8529F" w14:textId="77777777" w:rsidR="00E11534" w:rsidRPr="00750C1E" w:rsidRDefault="00E11534" w:rsidP="00E11534">
      <w:pPr>
        <w:pStyle w:val="Sansinterligne"/>
        <w:spacing w:line="360" w:lineRule="auto"/>
        <w:jc w:val="both"/>
        <w:rPr>
          <w:rFonts w:ascii="Arial" w:hAnsi="Arial" w:cs="Arial"/>
        </w:rPr>
      </w:pPr>
      <w:r w:rsidRPr="00750C1E">
        <w:rPr>
          <w:rFonts w:ascii="Arial" w:hAnsi="Arial" w:cs="Arial"/>
        </w:rPr>
        <w:t>Au final, la relation permet d’expliquer 8</w:t>
      </w:r>
      <w:r>
        <w:rPr>
          <w:rFonts w:ascii="Arial" w:hAnsi="Arial" w:cs="Arial"/>
        </w:rPr>
        <w:t>3</w:t>
      </w:r>
      <w:r w:rsidRPr="00750C1E">
        <w:rPr>
          <w:rFonts w:ascii="Arial" w:hAnsi="Arial" w:cs="Arial"/>
        </w:rPr>
        <w:t xml:space="preserve"> % des variations des </w:t>
      </w:r>
      <w:r>
        <w:rPr>
          <w:rFonts w:ascii="Arial" w:hAnsi="Arial" w:cs="Arial"/>
        </w:rPr>
        <w:t>surfaces autorisées de bâtiments industriels et assimilés (cf. graphique A.1</w:t>
      </w:r>
      <w:r w:rsidRPr="00750C1E">
        <w:rPr>
          <w:rFonts w:ascii="Arial" w:hAnsi="Arial" w:cs="Arial"/>
        </w:rPr>
        <w:t>).</w:t>
      </w:r>
    </w:p>
    <w:p w14:paraId="3C167F05" w14:textId="77777777" w:rsidR="00E11534" w:rsidRDefault="00E11534" w:rsidP="00E11534">
      <w:pPr>
        <w:pStyle w:val="Sansinterligne"/>
        <w:spacing w:line="360" w:lineRule="auto"/>
        <w:rPr>
          <w:rFonts w:ascii="Arial" w:hAnsi="Arial" w:cs="Arial"/>
        </w:rPr>
      </w:pPr>
    </w:p>
    <w:p w14:paraId="4613BF47" w14:textId="77777777" w:rsidR="00E11534" w:rsidRDefault="00E11534" w:rsidP="00E11534">
      <w:pPr>
        <w:spacing w:line="360" w:lineRule="auto"/>
        <w:rPr>
          <w:rFonts w:ascii="Arial" w:hAnsi="Arial" w:cs="Arial"/>
          <w:b/>
        </w:rPr>
      </w:pPr>
      <w:r>
        <w:rPr>
          <w:rFonts w:ascii="Arial" w:hAnsi="Arial" w:cs="Arial"/>
          <w:b/>
        </w:rPr>
        <w:br w:type="page"/>
      </w:r>
    </w:p>
    <w:p w14:paraId="7E9DE62C" w14:textId="77777777" w:rsidR="00E11534" w:rsidRPr="000E6529" w:rsidRDefault="00E11534" w:rsidP="00E11534">
      <w:pPr>
        <w:pStyle w:val="Sansinterligne"/>
        <w:spacing w:line="360" w:lineRule="auto"/>
        <w:jc w:val="center"/>
        <w:rPr>
          <w:rFonts w:ascii="Arial" w:hAnsi="Arial" w:cs="Arial"/>
        </w:rPr>
      </w:pPr>
      <w:r>
        <w:rPr>
          <w:rFonts w:ascii="Arial" w:hAnsi="Arial" w:cs="Arial"/>
        </w:rPr>
        <w:lastRenderedPageBreak/>
        <w:t xml:space="preserve">Graphique A.1 – </w:t>
      </w:r>
      <w:r w:rsidRPr="000E6529">
        <w:rPr>
          <w:rFonts w:ascii="Arial" w:hAnsi="Arial" w:cs="Arial"/>
          <w:b/>
        </w:rPr>
        <w:t>Surfaces autorisées de</w:t>
      </w:r>
      <w:r>
        <w:rPr>
          <w:rFonts w:ascii="Arial" w:hAnsi="Arial" w:cs="Arial"/>
          <w:b/>
        </w:rPr>
        <w:t xml:space="preserve"> bâtiments industriels et assimilés</w:t>
      </w:r>
    </w:p>
    <w:p w14:paraId="0A942EF5" w14:textId="77777777" w:rsidR="00E11534" w:rsidRDefault="00E11534" w:rsidP="00E11534">
      <w:pPr>
        <w:pStyle w:val="Sansinterligne"/>
        <w:spacing w:line="360" w:lineRule="auto"/>
        <w:jc w:val="center"/>
        <w:rPr>
          <w:rFonts w:ascii="Arial" w:hAnsi="Arial" w:cs="Arial"/>
        </w:rPr>
      </w:pPr>
      <w:r w:rsidRPr="000E6529">
        <w:rPr>
          <w:noProof/>
          <w:lang w:eastAsia="fr-FR"/>
        </w:rPr>
        <w:drawing>
          <wp:inline distT="0" distB="0" distL="0" distR="0" wp14:anchorId="55827211" wp14:editId="085EE3F3">
            <wp:extent cx="5698800" cy="3232800"/>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8800" cy="3232800"/>
                    </a:xfrm>
                    <a:prstGeom prst="rect">
                      <a:avLst/>
                    </a:prstGeom>
                    <a:noFill/>
                    <a:ln>
                      <a:noFill/>
                    </a:ln>
                  </pic:spPr>
                </pic:pic>
              </a:graphicData>
            </a:graphic>
          </wp:inline>
        </w:drawing>
      </w:r>
    </w:p>
    <w:p w14:paraId="71DA21FA" w14:textId="77777777" w:rsidR="00E11534" w:rsidRPr="000D0A54"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 à partir des données Sit@del2, MTES/CGDD/SDES</w:t>
      </w:r>
    </w:p>
    <w:p w14:paraId="58565DC5" w14:textId="77777777" w:rsidR="00E11534" w:rsidRPr="00E25744" w:rsidRDefault="00E11534" w:rsidP="00E11534">
      <w:pPr>
        <w:pStyle w:val="Sansinterligne"/>
        <w:spacing w:line="360" w:lineRule="auto"/>
        <w:jc w:val="both"/>
        <w:rPr>
          <w:rFonts w:ascii="Arial" w:hAnsi="Arial" w:cs="Arial"/>
        </w:rPr>
      </w:pPr>
    </w:p>
    <w:p w14:paraId="0458226A" w14:textId="77777777" w:rsidR="00E11534" w:rsidRPr="00750C1E" w:rsidRDefault="00E11534" w:rsidP="00E11534">
      <w:pPr>
        <w:pStyle w:val="Sansinterligne"/>
        <w:spacing w:line="360" w:lineRule="auto"/>
        <w:jc w:val="both"/>
        <w:rPr>
          <w:rFonts w:ascii="Arial" w:hAnsi="Arial" w:cs="Arial"/>
          <w:i/>
        </w:rPr>
      </w:pPr>
      <w:r w:rsidRPr="00750C1E">
        <w:rPr>
          <w:rFonts w:ascii="Arial" w:hAnsi="Arial" w:cs="Arial"/>
          <w:i/>
        </w:rPr>
        <w:t>Prévisions intra-échantillon</w:t>
      </w:r>
    </w:p>
    <w:p w14:paraId="442CF9CD" w14:textId="77777777" w:rsidR="00E11534" w:rsidRDefault="00E11534" w:rsidP="00E11534">
      <w:pPr>
        <w:pStyle w:val="Sansinterligne"/>
        <w:spacing w:line="360" w:lineRule="auto"/>
        <w:jc w:val="both"/>
        <w:rPr>
          <w:rFonts w:ascii="Arial" w:hAnsi="Arial" w:cs="Arial"/>
        </w:rPr>
      </w:pPr>
    </w:p>
    <w:p w14:paraId="0C77F748" w14:textId="2063BB49" w:rsidR="00E11534" w:rsidRPr="00A61D42" w:rsidRDefault="00E11534" w:rsidP="00E11534">
      <w:pPr>
        <w:pStyle w:val="Sansinterligne"/>
        <w:spacing w:line="360" w:lineRule="auto"/>
        <w:jc w:val="both"/>
        <w:rPr>
          <w:rFonts w:ascii="Arial" w:hAnsi="Arial" w:cs="Arial"/>
        </w:rPr>
      </w:pPr>
      <w:r w:rsidRPr="00750C1E">
        <w:rPr>
          <w:rFonts w:ascii="Arial" w:hAnsi="Arial" w:cs="Arial"/>
        </w:rPr>
        <w:t xml:space="preserve">Les tendances </w:t>
      </w:r>
      <w:r>
        <w:rPr>
          <w:rFonts w:ascii="Arial" w:hAnsi="Arial" w:cs="Arial"/>
        </w:rPr>
        <w:t>s’avèrent bien respectées (cf. tableau A.2</w:t>
      </w:r>
      <w:r w:rsidRPr="00750C1E">
        <w:rPr>
          <w:rFonts w:ascii="Arial" w:hAnsi="Arial" w:cs="Arial"/>
        </w:rPr>
        <w:t>)</w:t>
      </w:r>
      <w:r w:rsidRPr="00A61D42">
        <w:rPr>
          <w:rFonts w:ascii="Arial" w:hAnsi="Arial" w:cs="Arial"/>
        </w:rPr>
        <w:t>. La moyenne des é</w:t>
      </w:r>
      <w:r>
        <w:rPr>
          <w:rFonts w:ascii="Arial" w:hAnsi="Arial" w:cs="Arial"/>
        </w:rPr>
        <w:t>carts des prévisions s’élève à 1,3 point</w:t>
      </w:r>
      <w:r w:rsidRPr="00A61D42">
        <w:rPr>
          <w:rFonts w:ascii="Arial" w:hAnsi="Arial" w:cs="Arial"/>
        </w:rPr>
        <w:t xml:space="preserve"> </w:t>
      </w:r>
      <w:r w:rsidR="00D300BA">
        <w:rPr>
          <w:rFonts w:ascii="Arial" w:hAnsi="Arial" w:cs="Arial"/>
        </w:rPr>
        <w:t xml:space="preserve">de pourcentage </w:t>
      </w:r>
      <w:r w:rsidRPr="00A61D42">
        <w:rPr>
          <w:rFonts w:ascii="Arial" w:hAnsi="Arial" w:cs="Arial"/>
        </w:rPr>
        <w:t>sur ces trois années.</w:t>
      </w:r>
    </w:p>
    <w:p w14:paraId="71563568" w14:textId="77777777" w:rsidR="00E11534" w:rsidRDefault="00E11534" w:rsidP="00E11534">
      <w:pPr>
        <w:pStyle w:val="Sansinterligne"/>
        <w:spacing w:line="360" w:lineRule="auto"/>
        <w:jc w:val="both"/>
        <w:rPr>
          <w:rFonts w:ascii="Arial" w:hAnsi="Arial" w:cs="Arial"/>
        </w:rPr>
      </w:pPr>
    </w:p>
    <w:p w14:paraId="134BD616" w14:textId="77777777" w:rsidR="00E11534" w:rsidRDefault="00E11534" w:rsidP="00E11534">
      <w:pPr>
        <w:pStyle w:val="Sansinterligne"/>
        <w:spacing w:line="360" w:lineRule="auto"/>
        <w:jc w:val="center"/>
        <w:rPr>
          <w:rFonts w:ascii="Arial" w:hAnsi="Arial" w:cs="Arial"/>
          <w:b/>
        </w:rPr>
      </w:pPr>
      <w:r>
        <w:rPr>
          <w:rFonts w:ascii="Arial" w:hAnsi="Arial" w:cs="Arial"/>
        </w:rPr>
        <w:t xml:space="preserve">Tableau A.2 – </w:t>
      </w:r>
      <w:r w:rsidRPr="003472B6">
        <w:rPr>
          <w:rFonts w:ascii="Arial" w:hAnsi="Arial" w:cs="Arial"/>
          <w:b/>
        </w:rPr>
        <w:t>Prévisions intra-échantillon</w:t>
      </w:r>
      <w:r>
        <w:rPr>
          <w:rFonts w:ascii="Arial" w:hAnsi="Arial" w:cs="Arial"/>
          <w:b/>
        </w:rPr>
        <w:t xml:space="preserve"> des surfaces autorisées de bâtiments industriels et assimilés</w:t>
      </w:r>
    </w:p>
    <w:p w14:paraId="5F60D4D8" w14:textId="77777777" w:rsidR="00E11534" w:rsidRPr="000E6529" w:rsidRDefault="00E11534" w:rsidP="00E11534">
      <w:pPr>
        <w:pStyle w:val="Sansinterligne"/>
        <w:spacing w:line="360" w:lineRule="auto"/>
        <w:jc w:val="center"/>
        <w:rPr>
          <w:rFonts w:ascii="Arial" w:hAnsi="Arial" w:cs="Arial"/>
        </w:rPr>
      </w:pPr>
      <w:r w:rsidRPr="000E6529">
        <w:rPr>
          <w:noProof/>
          <w:lang w:eastAsia="fr-FR"/>
        </w:rPr>
        <w:drawing>
          <wp:inline distT="0" distB="0" distL="0" distR="0" wp14:anchorId="3B5B98BA" wp14:editId="43FEDAEE">
            <wp:extent cx="4714875" cy="11049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4875" cy="1104900"/>
                    </a:xfrm>
                    <a:prstGeom prst="rect">
                      <a:avLst/>
                    </a:prstGeom>
                    <a:noFill/>
                    <a:ln>
                      <a:noFill/>
                    </a:ln>
                  </pic:spPr>
                </pic:pic>
              </a:graphicData>
            </a:graphic>
          </wp:inline>
        </w:drawing>
      </w:r>
    </w:p>
    <w:p w14:paraId="20D24DEB" w14:textId="77777777" w:rsidR="00E11534" w:rsidRPr="000D0A54"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 à partir des données Sit@del2, MTES/CGDD/SDES</w:t>
      </w:r>
    </w:p>
    <w:p w14:paraId="3F03F5FB" w14:textId="77777777" w:rsidR="00E11534" w:rsidRDefault="00E11534" w:rsidP="00E11534">
      <w:pPr>
        <w:pStyle w:val="Sansinterligne"/>
        <w:spacing w:line="360" w:lineRule="auto"/>
        <w:jc w:val="both"/>
        <w:rPr>
          <w:rFonts w:ascii="Arial" w:hAnsi="Arial" w:cs="Arial"/>
        </w:rPr>
      </w:pPr>
    </w:p>
    <w:p w14:paraId="16006E36" w14:textId="77777777" w:rsidR="00E11534" w:rsidRPr="00A55146" w:rsidRDefault="00E11534" w:rsidP="00E11534">
      <w:pPr>
        <w:pStyle w:val="Sansinterligne"/>
        <w:spacing w:line="360" w:lineRule="auto"/>
        <w:jc w:val="both"/>
        <w:rPr>
          <w:rFonts w:ascii="Arial" w:hAnsi="Arial" w:cs="Arial"/>
          <w:u w:val="single"/>
        </w:rPr>
      </w:pPr>
      <w:r>
        <w:rPr>
          <w:rFonts w:ascii="Arial" w:hAnsi="Arial" w:cs="Arial"/>
          <w:u w:val="single"/>
        </w:rPr>
        <w:t xml:space="preserve">I.2 </w:t>
      </w:r>
      <w:r w:rsidRPr="00A55146">
        <w:rPr>
          <w:rFonts w:ascii="Arial" w:hAnsi="Arial" w:cs="Arial"/>
          <w:u w:val="single"/>
        </w:rPr>
        <w:t>Les mises en chantier</w:t>
      </w:r>
    </w:p>
    <w:p w14:paraId="2990C0CB" w14:textId="77777777" w:rsidR="00E11534" w:rsidRDefault="00E11534" w:rsidP="00E11534">
      <w:pPr>
        <w:pStyle w:val="Sansinterligne"/>
        <w:spacing w:line="360" w:lineRule="auto"/>
        <w:jc w:val="both"/>
        <w:rPr>
          <w:rFonts w:ascii="Arial" w:hAnsi="Arial" w:cs="Arial"/>
        </w:rPr>
      </w:pPr>
    </w:p>
    <w:p w14:paraId="314107E9" w14:textId="77777777" w:rsidR="00E11534" w:rsidRPr="00750C1E" w:rsidRDefault="00E11534" w:rsidP="00E11534">
      <w:pPr>
        <w:pStyle w:val="Sansinterligne"/>
        <w:spacing w:line="360" w:lineRule="auto"/>
        <w:jc w:val="both"/>
        <w:rPr>
          <w:rFonts w:ascii="Arial" w:hAnsi="Arial" w:cs="Arial"/>
        </w:rPr>
      </w:pPr>
      <w:r>
        <w:rPr>
          <w:rFonts w:ascii="Arial" w:hAnsi="Arial" w:cs="Arial"/>
        </w:rPr>
        <w:t>Dans un deuxième temps, o</w:t>
      </w:r>
      <w:r w:rsidRPr="00750C1E">
        <w:rPr>
          <w:rFonts w:ascii="Arial" w:hAnsi="Arial" w:cs="Arial"/>
        </w:rPr>
        <w:t xml:space="preserve">n cherche à expliquer </w:t>
      </w:r>
      <w:r>
        <w:rPr>
          <w:rFonts w:ascii="Arial" w:hAnsi="Arial" w:cs="Arial"/>
        </w:rPr>
        <w:t>les surfaces trimestrielles commencées de bâtiments industriels</w:t>
      </w:r>
      <w:r w:rsidRPr="00750C1E">
        <w:rPr>
          <w:rFonts w:ascii="Arial" w:hAnsi="Arial" w:cs="Arial"/>
        </w:rPr>
        <w:t xml:space="preserve"> </w:t>
      </w:r>
      <w:r>
        <w:rPr>
          <w:rFonts w:ascii="Arial" w:hAnsi="Arial" w:cs="Arial"/>
        </w:rPr>
        <w:t>et assimilés publiées par le SDES</w:t>
      </w:r>
      <w:r w:rsidRPr="00750C1E">
        <w:rPr>
          <w:rFonts w:ascii="Arial" w:hAnsi="Arial" w:cs="Arial"/>
        </w:rPr>
        <w:t xml:space="preserve">, noté </w:t>
      </w:r>
      <w:proofErr w:type="spellStart"/>
      <w:r w:rsidRPr="003472B6">
        <w:rPr>
          <w:rFonts w:ascii="Arial" w:hAnsi="Arial" w:cs="Arial"/>
          <w:i/>
        </w:rPr>
        <w:t>mch</w:t>
      </w:r>
      <w:r>
        <w:rPr>
          <w:rFonts w:ascii="Arial" w:hAnsi="Arial" w:cs="Arial"/>
          <w:i/>
        </w:rPr>
        <w:t>indus</w:t>
      </w:r>
      <w:proofErr w:type="spellEnd"/>
      <w:r w:rsidRPr="00750C1E">
        <w:rPr>
          <w:rFonts w:ascii="Arial" w:hAnsi="Arial" w:cs="Arial"/>
        </w:rPr>
        <w:t>.</w:t>
      </w:r>
    </w:p>
    <w:p w14:paraId="26D93928" w14:textId="77777777" w:rsidR="00E11534" w:rsidRDefault="00E11534" w:rsidP="00E11534">
      <w:pPr>
        <w:rPr>
          <w:rFonts w:ascii="Arial" w:hAnsi="Arial" w:cs="Arial"/>
          <w:i/>
        </w:rPr>
      </w:pPr>
    </w:p>
    <w:p w14:paraId="76728041" w14:textId="77777777" w:rsidR="00E11534" w:rsidRPr="00CA4D82" w:rsidRDefault="00E11534" w:rsidP="00E11534">
      <w:pPr>
        <w:pStyle w:val="Sansinterligne"/>
        <w:spacing w:line="360" w:lineRule="auto"/>
        <w:jc w:val="both"/>
        <w:rPr>
          <w:rFonts w:ascii="Arial" w:hAnsi="Arial" w:cs="Arial"/>
        </w:rPr>
      </w:pPr>
      <w:r w:rsidRPr="00CA4D82">
        <w:rPr>
          <w:rFonts w:ascii="Arial" w:hAnsi="Arial" w:cs="Arial"/>
        </w:rPr>
        <w:t>Trois variables explicatives ont été retenues :</w:t>
      </w:r>
    </w:p>
    <w:p w14:paraId="21AF3DD1" w14:textId="4578682C" w:rsidR="00E11534" w:rsidRDefault="00E11534" w:rsidP="00E11534">
      <w:pPr>
        <w:pStyle w:val="Sansinterligne"/>
        <w:numPr>
          <w:ilvl w:val="0"/>
          <w:numId w:val="33"/>
        </w:numPr>
        <w:spacing w:line="360" w:lineRule="auto"/>
        <w:jc w:val="both"/>
        <w:rPr>
          <w:rFonts w:ascii="Arial" w:hAnsi="Arial" w:cs="Arial"/>
        </w:rPr>
      </w:pPr>
      <w:r>
        <w:rPr>
          <w:rFonts w:ascii="Arial" w:hAnsi="Arial" w:cs="Arial"/>
        </w:rPr>
        <w:lastRenderedPageBreak/>
        <w:t>l</w:t>
      </w:r>
      <w:r w:rsidRPr="00750C1E">
        <w:rPr>
          <w:rFonts w:ascii="Arial" w:hAnsi="Arial" w:cs="Arial"/>
        </w:rPr>
        <w:t>e</w:t>
      </w:r>
      <w:r>
        <w:rPr>
          <w:rFonts w:ascii="Arial" w:hAnsi="Arial" w:cs="Arial"/>
        </w:rPr>
        <w:t>s surfaces autorisées</w:t>
      </w:r>
      <w:r w:rsidRPr="00750C1E">
        <w:rPr>
          <w:rFonts w:ascii="Arial" w:hAnsi="Arial" w:cs="Arial"/>
        </w:rPr>
        <w:t xml:space="preserve"> de </w:t>
      </w:r>
      <w:r>
        <w:rPr>
          <w:rFonts w:ascii="Arial" w:hAnsi="Arial" w:cs="Arial"/>
        </w:rPr>
        <w:t>bâtiments industriels et assimilés</w:t>
      </w:r>
      <w:r w:rsidRPr="00750C1E">
        <w:rPr>
          <w:rFonts w:ascii="Arial" w:hAnsi="Arial" w:cs="Arial"/>
        </w:rPr>
        <w:t xml:space="preserve"> du trimestre, </w:t>
      </w:r>
      <w:r w:rsidR="00D300BA">
        <w:rPr>
          <w:rFonts w:ascii="Arial" w:hAnsi="Arial" w:cs="Arial"/>
        </w:rPr>
        <w:t>précédent</w:t>
      </w:r>
      <w:r w:rsidR="00D300BA" w:rsidRPr="00750C1E">
        <w:rPr>
          <w:rFonts w:ascii="Arial" w:hAnsi="Arial" w:cs="Arial"/>
        </w:rPr>
        <w:t xml:space="preserve"> </w:t>
      </w:r>
      <w:r w:rsidRPr="003472B6">
        <w:rPr>
          <w:rFonts w:ascii="Arial" w:hAnsi="Arial" w:cs="Arial"/>
          <w:i/>
        </w:rPr>
        <w:t>permis1</w:t>
      </w:r>
      <w:r>
        <w:rPr>
          <w:rFonts w:ascii="Arial" w:hAnsi="Arial" w:cs="Arial"/>
          <w:i/>
        </w:rPr>
        <w:t> </w:t>
      </w:r>
      <w:r>
        <w:rPr>
          <w:rFonts w:ascii="Arial" w:hAnsi="Arial" w:cs="Arial"/>
        </w:rPr>
        <w:t>;</w:t>
      </w:r>
    </w:p>
    <w:p w14:paraId="5AE34CAC" w14:textId="05A874BB" w:rsidR="00E11534" w:rsidRDefault="00E11534" w:rsidP="00E11534">
      <w:pPr>
        <w:pStyle w:val="Sansinterligne"/>
        <w:numPr>
          <w:ilvl w:val="0"/>
          <w:numId w:val="33"/>
        </w:numPr>
        <w:spacing w:line="360" w:lineRule="auto"/>
        <w:jc w:val="both"/>
        <w:rPr>
          <w:rFonts w:ascii="Arial" w:hAnsi="Arial" w:cs="Arial"/>
        </w:rPr>
      </w:pPr>
      <w:r>
        <w:rPr>
          <w:rFonts w:ascii="Arial" w:hAnsi="Arial" w:cs="Arial"/>
        </w:rPr>
        <w:t>l</w:t>
      </w:r>
      <w:r w:rsidRPr="00750C1E">
        <w:rPr>
          <w:rFonts w:ascii="Arial" w:hAnsi="Arial" w:cs="Arial"/>
        </w:rPr>
        <w:t>e</w:t>
      </w:r>
      <w:r>
        <w:rPr>
          <w:rFonts w:ascii="Arial" w:hAnsi="Arial" w:cs="Arial"/>
        </w:rPr>
        <w:t>s</w:t>
      </w:r>
      <w:r w:rsidRPr="00750C1E">
        <w:rPr>
          <w:rFonts w:ascii="Arial" w:hAnsi="Arial" w:cs="Arial"/>
        </w:rPr>
        <w:t xml:space="preserve"> </w:t>
      </w:r>
      <w:r>
        <w:rPr>
          <w:rFonts w:ascii="Arial" w:hAnsi="Arial" w:cs="Arial"/>
        </w:rPr>
        <w:t>surfaces autorisées</w:t>
      </w:r>
      <w:r w:rsidRPr="00750C1E">
        <w:rPr>
          <w:rFonts w:ascii="Arial" w:hAnsi="Arial" w:cs="Arial"/>
        </w:rPr>
        <w:t xml:space="preserve"> de </w:t>
      </w:r>
      <w:r>
        <w:rPr>
          <w:rFonts w:ascii="Arial" w:hAnsi="Arial" w:cs="Arial"/>
        </w:rPr>
        <w:t>bâtiments industriels et assimilés</w:t>
      </w:r>
      <w:r w:rsidRPr="00750C1E">
        <w:rPr>
          <w:rFonts w:ascii="Arial" w:hAnsi="Arial" w:cs="Arial"/>
        </w:rPr>
        <w:t xml:space="preserve"> deux trimestres</w:t>
      </w:r>
      <w:r w:rsidR="00D300BA">
        <w:rPr>
          <w:rFonts w:ascii="Arial" w:hAnsi="Arial" w:cs="Arial"/>
        </w:rPr>
        <w:t xml:space="preserve"> auparavant</w:t>
      </w:r>
      <w:r w:rsidRPr="00750C1E">
        <w:rPr>
          <w:rFonts w:ascii="Arial" w:hAnsi="Arial" w:cs="Arial"/>
        </w:rPr>
        <w:t>, noté</w:t>
      </w:r>
      <w:r>
        <w:rPr>
          <w:rFonts w:ascii="Arial" w:hAnsi="Arial" w:cs="Arial"/>
        </w:rPr>
        <w:t>es</w:t>
      </w:r>
      <w:r w:rsidRPr="00750C1E">
        <w:rPr>
          <w:rFonts w:ascii="Arial" w:hAnsi="Arial" w:cs="Arial"/>
        </w:rPr>
        <w:t xml:space="preserve"> </w:t>
      </w:r>
      <w:r w:rsidRPr="003472B6">
        <w:rPr>
          <w:rFonts w:ascii="Arial" w:hAnsi="Arial" w:cs="Arial"/>
          <w:i/>
        </w:rPr>
        <w:t>permis2</w:t>
      </w:r>
      <w:r>
        <w:rPr>
          <w:rFonts w:ascii="Arial" w:hAnsi="Arial" w:cs="Arial"/>
          <w:i/>
        </w:rPr>
        <w:t> </w:t>
      </w:r>
      <w:r>
        <w:rPr>
          <w:rFonts w:ascii="Arial" w:hAnsi="Arial" w:cs="Arial"/>
        </w:rPr>
        <w:t>;</w:t>
      </w:r>
    </w:p>
    <w:p w14:paraId="5D0142D7" w14:textId="77777777" w:rsidR="00E11534" w:rsidRPr="00750C1E" w:rsidRDefault="00E11534" w:rsidP="00E11534">
      <w:pPr>
        <w:pStyle w:val="Sansinterligne"/>
        <w:numPr>
          <w:ilvl w:val="0"/>
          <w:numId w:val="33"/>
        </w:numPr>
        <w:spacing w:line="360" w:lineRule="auto"/>
        <w:jc w:val="both"/>
        <w:rPr>
          <w:rFonts w:ascii="Arial" w:hAnsi="Arial" w:cs="Arial"/>
        </w:rPr>
      </w:pPr>
      <w:r>
        <w:rPr>
          <w:rFonts w:ascii="Arial" w:hAnsi="Arial" w:cs="Arial"/>
        </w:rPr>
        <w:t>l</w:t>
      </w:r>
      <w:r w:rsidRPr="00750C1E">
        <w:rPr>
          <w:rFonts w:ascii="Arial" w:hAnsi="Arial" w:cs="Arial"/>
        </w:rPr>
        <w:t xml:space="preserve">e ratio entre les permis de construire autorisés et les mises en chantier des deux dernières années (décalé d’un trimestre), noté </w:t>
      </w:r>
      <w:r w:rsidRPr="003472B6">
        <w:rPr>
          <w:rFonts w:ascii="Arial" w:hAnsi="Arial" w:cs="Arial"/>
          <w:i/>
        </w:rPr>
        <w:t>ratio1</w:t>
      </w:r>
      <w:r w:rsidRPr="00750C1E">
        <w:rPr>
          <w:rFonts w:ascii="Arial" w:hAnsi="Arial" w:cs="Arial"/>
        </w:rPr>
        <w:t>.</w:t>
      </w:r>
    </w:p>
    <w:p w14:paraId="146E2293" w14:textId="750D5FE6" w:rsidR="00E11534" w:rsidRPr="00BD7D98" w:rsidRDefault="00E11534" w:rsidP="00E11534">
      <w:pPr>
        <w:pStyle w:val="Sansinterligne"/>
        <w:spacing w:line="360" w:lineRule="auto"/>
        <w:jc w:val="both"/>
        <w:rPr>
          <w:rFonts w:ascii="Arial" w:hAnsi="Arial" w:cs="Arial"/>
        </w:rPr>
      </w:pPr>
      <w:r>
        <w:rPr>
          <w:rFonts w:ascii="Arial" w:hAnsi="Arial" w:cs="Arial"/>
        </w:rPr>
        <w:t xml:space="preserve">Une dernière variable indicatrice isolant l’effet de saisonnalité </w:t>
      </w:r>
      <w:r w:rsidR="00D300BA">
        <w:rPr>
          <w:rFonts w:ascii="Arial" w:hAnsi="Arial" w:cs="Arial"/>
        </w:rPr>
        <w:t xml:space="preserve">du premier trimestre de l’année </w:t>
      </w:r>
      <w:r>
        <w:rPr>
          <w:rFonts w:ascii="Arial" w:hAnsi="Arial" w:cs="Arial"/>
        </w:rPr>
        <w:t xml:space="preserve">a été intégrée au modèle, elle est notée </w:t>
      </w:r>
      <w:r w:rsidRPr="00C521EA">
        <w:rPr>
          <w:rFonts w:ascii="Arial" w:hAnsi="Arial" w:cs="Arial"/>
          <w:i/>
        </w:rPr>
        <w:t>trim1prime</w:t>
      </w:r>
      <w:r>
        <w:rPr>
          <w:rFonts w:ascii="Arial" w:hAnsi="Arial" w:cs="Arial"/>
        </w:rPr>
        <w:t>.</w:t>
      </w:r>
    </w:p>
    <w:p w14:paraId="60312D87" w14:textId="77777777" w:rsidR="00E11534" w:rsidRDefault="00E11534" w:rsidP="00E11534">
      <w:pPr>
        <w:pStyle w:val="Sansinterligne"/>
        <w:spacing w:line="360" w:lineRule="auto"/>
        <w:jc w:val="both"/>
        <w:rPr>
          <w:rFonts w:ascii="Arial" w:hAnsi="Arial" w:cs="Arial"/>
        </w:rPr>
      </w:pPr>
    </w:p>
    <w:p w14:paraId="59AC82DC" w14:textId="2A92F0AB" w:rsidR="00E11534" w:rsidRPr="00750C1E" w:rsidRDefault="00E11534" w:rsidP="00E11534">
      <w:pPr>
        <w:pStyle w:val="Sansinterligne"/>
        <w:spacing w:line="360" w:lineRule="auto"/>
        <w:jc w:val="both"/>
        <w:rPr>
          <w:rFonts w:ascii="Arial" w:hAnsi="Arial" w:cs="Arial"/>
        </w:rPr>
      </w:pPr>
      <w:r w:rsidRPr="00750C1E">
        <w:rPr>
          <w:rFonts w:ascii="Arial" w:hAnsi="Arial" w:cs="Arial"/>
        </w:rPr>
        <w:t xml:space="preserve">Les </w:t>
      </w:r>
      <w:r>
        <w:rPr>
          <w:rFonts w:ascii="Arial" w:hAnsi="Arial" w:cs="Arial"/>
        </w:rPr>
        <w:t>signes</w:t>
      </w:r>
      <w:r w:rsidRPr="00750C1E">
        <w:rPr>
          <w:rFonts w:ascii="Arial" w:hAnsi="Arial" w:cs="Arial"/>
        </w:rPr>
        <w:t xml:space="preserve"> des coefficients semb</w:t>
      </w:r>
      <w:r>
        <w:rPr>
          <w:rFonts w:ascii="Arial" w:hAnsi="Arial" w:cs="Arial"/>
        </w:rPr>
        <w:t>lent cohérents (cf. tableau A.3</w:t>
      </w:r>
      <w:r w:rsidRPr="00750C1E">
        <w:rPr>
          <w:rFonts w:ascii="Arial" w:hAnsi="Arial" w:cs="Arial"/>
        </w:rPr>
        <w:t>). Les mises en chantier de</w:t>
      </w:r>
      <w:r>
        <w:rPr>
          <w:rFonts w:ascii="Arial" w:hAnsi="Arial" w:cs="Arial"/>
        </w:rPr>
        <w:t xml:space="preserve"> bâtiments industriels</w:t>
      </w:r>
      <w:r w:rsidRPr="00750C1E">
        <w:rPr>
          <w:rFonts w:ascii="Arial" w:hAnsi="Arial" w:cs="Arial"/>
        </w:rPr>
        <w:t xml:space="preserve"> sont liées</w:t>
      </w:r>
      <w:r w:rsidR="00D300BA">
        <w:rPr>
          <w:rFonts w:ascii="Arial" w:hAnsi="Arial" w:cs="Arial"/>
        </w:rPr>
        <w:t> </w:t>
      </w:r>
      <w:r w:rsidRPr="00750C1E">
        <w:rPr>
          <w:rFonts w:ascii="Arial" w:hAnsi="Arial" w:cs="Arial"/>
        </w:rPr>
        <w:t>:</w:t>
      </w:r>
    </w:p>
    <w:p w14:paraId="4A252490" w14:textId="62279594" w:rsidR="00E11534" w:rsidRPr="00750C1E" w:rsidRDefault="00E11534" w:rsidP="00E11534">
      <w:pPr>
        <w:pStyle w:val="Sansinterligne"/>
        <w:numPr>
          <w:ilvl w:val="0"/>
          <w:numId w:val="21"/>
        </w:numPr>
        <w:spacing w:line="360" w:lineRule="auto"/>
        <w:jc w:val="both"/>
        <w:rPr>
          <w:rFonts w:ascii="Arial" w:hAnsi="Arial" w:cs="Arial"/>
        </w:rPr>
      </w:pPr>
      <w:r w:rsidRPr="00750C1E">
        <w:rPr>
          <w:rFonts w:ascii="Arial" w:hAnsi="Arial" w:cs="Arial"/>
        </w:rPr>
        <w:t xml:space="preserve">positivement à </w:t>
      </w:r>
      <w:r w:rsidRPr="003472B6">
        <w:rPr>
          <w:rFonts w:ascii="Arial" w:hAnsi="Arial" w:cs="Arial"/>
          <w:i/>
        </w:rPr>
        <w:t>permis1</w:t>
      </w:r>
      <w:r w:rsidRPr="00750C1E">
        <w:rPr>
          <w:rFonts w:ascii="Arial" w:hAnsi="Arial" w:cs="Arial"/>
        </w:rPr>
        <w:t xml:space="preserve"> et </w:t>
      </w:r>
      <w:r w:rsidRPr="003472B6">
        <w:rPr>
          <w:rFonts w:ascii="Arial" w:hAnsi="Arial" w:cs="Arial"/>
          <w:i/>
        </w:rPr>
        <w:t>permis2</w:t>
      </w:r>
      <w:r w:rsidR="00D300BA">
        <w:rPr>
          <w:rFonts w:ascii="Arial" w:hAnsi="Arial" w:cs="Arial"/>
          <w:i/>
        </w:rPr>
        <w:t> </w:t>
      </w:r>
      <w:r w:rsidRPr="00750C1E">
        <w:rPr>
          <w:rFonts w:ascii="Arial" w:hAnsi="Arial" w:cs="Arial"/>
        </w:rPr>
        <w:t>;</w:t>
      </w:r>
    </w:p>
    <w:p w14:paraId="0DF87EB5" w14:textId="77777777" w:rsidR="00E11534" w:rsidRPr="00750C1E" w:rsidRDefault="00E11534" w:rsidP="00E11534">
      <w:pPr>
        <w:pStyle w:val="Sansinterligne"/>
        <w:numPr>
          <w:ilvl w:val="0"/>
          <w:numId w:val="21"/>
        </w:numPr>
        <w:spacing w:line="360" w:lineRule="auto"/>
        <w:jc w:val="both"/>
        <w:rPr>
          <w:rFonts w:ascii="Arial" w:hAnsi="Arial" w:cs="Arial"/>
        </w:rPr>
      </w:pPr>
      <w:r w:rsidRPr="00750C1E">
        <w:rPr>
          <w:rFonts w:ascii="Arial" w:hAnsi="Arial" w:cs="Arial"/>
        </w:rPr>
        <w:t xml:space="preserve">négativement à </w:t>
      </w:r>
      <w:r w:rsidRPr="003472B6">
        <w:rPr>
          <w:rFonts w:ascii="Arial" w:hAnsi="Arial" w:cs="Arial"/>
          <w:i/>
        </w:rPr>
        <w:t>ratio1</w:t>
      </w:r>
      <w:r w:rsidRPr="00750C1E">
        <w:rPr>
          <w:rFonts w:ascii="Arial" w:hAnsi="Arial" w:cs="Arial"/>
        </w:rPr>
        <w:t>.</w:t>
      </w:r>
    </w:p>
    <w:p w14:paraId="1121A9CB" w14:textId="77777777" w:rsidR="00E11534" w:rsidRPr="00750C1E" w:rsidRDefault="00E11534" w:rsidP="00E11534">
      <w:pPr>
        <w:pStyle w:val="Sansinterligne"/>
        <w:spacing w:line="360" w:lineRule="auto"/>
        <w:jc w:val="both"/>
        <w:rPr>
          <w:rFonts w:ascii="Arial" w:hAnsi="Arial" w:cs="Arial"/>
        </w:rPr>
      </w:pPr>
    </w:p>
    <w:p w14:paraId="537B8186" w14:textId="77777777" w:rsidR="00E11534" w:rsidRDefault="00E11534" w:rsidP="00E11534">
      <w:pPr>
        <w:pStyle w:val="Sansinterligne"/>
        <w:spacing w:line="360" w:lineRule="auto"/>
        <w:jc w:val="both"/>
        <w:rPr>
          <w:rFonts w:ascii="Arial" w:hAnsi="Arial" w:cs="Arial"/>
        </w:rPr>
      </w:pPr>
      <w:r w:rsidRPr="00750C1E">
        <w:rPr>
          <w:rFonts w:ascii="Arial" w:hAnsi="Arial" w:cs="Arial"/>
        </w:rPr>
        <w:t xml:space="preserve">L’analyse des résidus fait ressortir </w:t>
      </w:r>
      <w:r>
        <w:rPr>
          <w:rFonts w:ascii="Arial" w:hAnsi="Arial" w:cs="Arial"/>
        </w:rPr>
        <w:t>deux</w:t>
      </w:r>
      <w:r w:rsidRPr="00750C1E">
        <w:rPr>
          <w:rFonts w:ascii="Arial" w:hAnsi="Arial" w:cs="Arial"/>
        </w:rPr>
        <w:t xml:space="preserve"> points </w:t>
      </w:r>
      <w:r w:rsidRPr="002B0050">
        <w:rPr>
          <w:rFonts w:ascii="Arial" w:hAnsi="Arial" w:cs="Arial"/>
        </w:rPr>
        <w:t>aberrants</w:t>
      </w:r>
      <w:r>
        <w:rPr>
          <w:rFonts w:ascii="Arial" w:hAnsi="Arial" w:cs="Arial"/>
        </w:rPr>
        <w:t xml:space="preserve"> qu’on corrige en introduisant des variables indicatrices, à savoir,</w:t>
      </w:r>
      <w:r w:rsidRPr="002B0050">
        <w:rPr>
          <w:rFonts w:ascii="Arial" w:hAnsi="Arial" w:cs="Arial"/>
        </w:rPr>
        <w:t xml:space="preserve"> a</w:t>
      </w:r>
      <w:r>
        <w:rPr>
          <w:rFonts w:ascii="Arial" w:hAnsi="Arial" w:cs="Arial"/>
        </w:rPr>
        <w:t>u deuxième trimestre 2009 (</w:t>
      </w:r>
      <w:r w:rsidRPr="005B202B">
        <w:rPr>
          <w:rFonts w:ascii="Arial" w:hAnsi="Arial" w:cs="Arial"/>
          <w:i/>
        </w:rPr>
        <w:t>dum1</w:t>
      </w:r>
      <w:r>
        <w:rPr>
          <w:rFonts w:ascii="Arial" w:hAnsi="Arial" w:cs="Arial"/>
        </w:rPr>
        <w:t>) et au</w:t>
      </w:r>
      <w:r w:rsidRPr="002B0050">
        <w:rPr>
          <w:rFonts w:ascii="Arial" w:hAnsi="Arial" w:cs="Arial"/>
        </w:rPr>
        <w:t xml:space="preserve"> quatrième</w:t>
      </w:r>
      <w:r>
        <w:rPr>
          <w:rFonts w:ascii="Arial" w:hAnsi="Arial" w:cs="Arial"/>
        </w:rPr>
        <w:t xml:space="preserve"> trimestre</w:t>
      </w:r>
      <w:r w:rsidRPr="002B0050">
        <w:rPr>
          <w:rFonts w:ascii="Arial" w:hAnsi="Arial" w:cs="Arial"/>
        </w:rPr>
        <w:t xml:space="preserve"> 2012</w:t>
      </w:r>
      <w:r>
        <w:rPr>
          <w:rFonts w:ascii="Arial" w:hAnsi="Arial" w:cs="Arial"/>
        </w:rPr>
        <w:t xml:space="preserve"> (</w:t>
      </w:r>
      <w:r>
        <w:rPr>
          <w:rFonts w:ascii="Arial" w:hAnsi="Arial" w:cs="Arial"/>
          <w:i/>
        </w:rPr>
        <w:t>dum</w:t>
      </w:r>
      <w:r w:rsidRPr="005B202B">
        <w:rPr>
          <w:rFonts w:ascii="Arial" w:hAnsi="Arial" w:cs="Arial"/>
          <w:i/>
        </w:rPr>
        <w:t>2</w:t>
      </w:r>
      <w:r>
        <w:rPr>
          <w:rFonts w:ascii="Arial" w:hAnsi="Arial" w:cs="Arial"/>
        </w:rPr>
        <w:t>).</w:t>
      </w:r>
    </w:p>
    <w:p w14:paraId="4424D509" w14:textId="77777777" w:rsidR="00E11534" w:rsidRDefault="00E11534" w:rsidP="00E11534">
      <w:pPr>
        <w:rPr>
          <w:rFonts w:ascii="Arial" w:hAnsi="Arial" w:cs="Arial"/>
        </w:rPr>
      </w:pPr>
    </w:p>
    <w:p w14:paraId="540D8E90" w14:textId="77777777" w:rsidR="00E11534" w:rsidRDefault="00E11534" w:rsidP="00E11534">
      <w:pPr>
        <w:rPr>
          <w:rFonts w:ascii="Arial" w:hAnsi="Arial" w:cs="Arial"/>
        </w:rPr>
      </w:pPr>
      <w:r>
        <w:rPr>
          <w:rFonts w:ascii="Arial" w:hAnsi="Arial" w:cs="Arial"/>
        </w:rPr>
        <w:br w:type="page"/>
      </w:r>
    </w:p>
    <w:p w14:paraId="2723116A" w14:textId="77777777" w:rsidR="00E11534" w:rsidRPr="00806BCF" w:rsidRDefault="00E11534" w:rsidP="00E11534">
      <w:pPr>
        <w:pStyle w:val="Sansinterligne"/>
        <w:spacing w:line="360" w:lineRule="auto"/>
        <w:jc w:val="center"/>
        <w:rPr>
          <w:rFonts w:ascii="Arial" w:hAnsi="Arial" w:cs="Arial"/>
          <w:b/>
        </w:rPr>
      </w:pPr>
      <w:r>
        <w:rPr>
          <w:rFonts w:ascii="Arial" w:hAnsi="Arial" w:cs="Arial"/>
        </w:rPr>
        <w:lastRenderedPageBreak/>
        <w:t xml:space="preserve">Tableau A.3 – </w:t>
      </w:r>
      <w:r w:rsidRPr="00806BCF">
        <w:rPr>
          <w:rFonts w:ascii="Arial" w:hAnsi="Arial" w:cs="Arial"/>
          <w:b/>
        </w:rPr>
        <w:t xml:space="preserve">Estimation des </w:t>
      </w:r>
      <w:r>
        <w:rPr>
          <w:rFonts w:ascii="Arial" w:hAnsi="Arial" w:cs="Arial"/>
          <w:b/>
        </w:rPr>
        <w:t>surfaces commencées</w:t>
      </w:r>
      <w:r w:rsidRPr="00806BCF">
        <w:rPr>
          <w:rFonts w:ascii="Arial" w:hAnsi="Arial" w:cs="Arial"/>
          <w:b/>
        </w:rPr>
        <w:t xml:space="preserve"> de bâtiments industriels</w:t>
      </w:r>
      <w:r>
        <w:rPr>
          <w:rFonts w:ascii="Arial" w:hAnsi="Arial" w:cs="Arial"/>
          <w:b/>
        </w:rPr>
        <w:t xml:space="preserve"> et assimilés</w:t>
      </w:r>
    </w:p>
    <w:p w14:paraId="075FE6F4" w14:textId="77777777" w:rsidR="00E11534" w:rsidRDefault="00E11534" w:rsidP="00E11534">
      <w:pPr>
        <w:pStyle w:val="Sansinterligne"/>
        <w:spacing w:line="360" w:lineRule="auto"/>
        <w:jc w:val="center"/>
        <w:rPr>
          <w:rFonts w:ascii="Arial" w:hAnsi="Arial" w:cs="Arial"/>
        </w:rPr>
      </w:pPr>
      <w:r w:rsidRPr="00F52D1B">
        <w:rPr>
          <w:noProof/>
          <w:lang w:eastAsia="fr-FR"/>
        </w:rPr>
        <w:drawing>
          <wp:inline distT="0" distB="0" distL="0" distR="0" wp14:anchorId="2321C19E" wp14:editId="610D861D">
            <wp:extent cx="4993200" cy="437400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3200" cy="4374000"/>
                    </a:xfrm>
                    <a:prstGeom prst="rect">
                      <a:avLst/>
                    </a:prstGeom>
                  </pic:spPr>
                </pic:pic>
              </a:graphicData>
            </a:graphic>
          </wp:inline>
        </w:drawing>
      </w:r>
    </w:p>
    <w:p w14:paraId="052BD125" w14:textId="77777777" w:rsidR="00E11534" w:rsidRPr="00F65563"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w:t>
      </w:r>
    </w:p>
    <w:p w14:paraId="7D033C40" w14:textId="77777777" w:rsidR="00E11534" w:rsidRDefault="00E11534" w:rsidP="00E11534">
      <w:pPr>
        <w:pStyle w:val="Sansinterligne"/>
        <w:spacing w:line="360" w:lineRule="auto"/>
        <w:rPr>
          <w:rFonts w:ascii="Arial" w:hAnsi="Arial" w:cs="Arial"/>
        </w:rPr>
      </w:pPr>
    </w:p>
    <w:p w14:paraId="002B4BDB" w14:textId="23A23738" w:rsidR="00E11534" w:rsidRDefault="00E11534" w:rsidP="00E11534">
      <w:pPr>
        <w:pStyle w:val="Sansinterligne"/>
        <w:spacing w:line="360" w:lineRule="auto"/>
        <w:jc w:val="both"/>
        <w:rPr>
          <w:rFonts w:ascii="Arial" w:hAnsi="Arial" w:cs="Arial"/>
        </w:rPr>
      </w:pPr>
      <w:r w:rsidRPr="003472B6">
        <w:rPr>
          <w:rFonts w:ascii="Arial" w:hAnsi="Arial" w:cs="Arial"/>
        </w:rPr>
        <w:t>Au final, l</w:t>
      </w:r>
      <w:r>
        <w:rPr>
          <w:rFonts w:ascii="Arial" w:hAnsi="Arial" w:cs="Arial"/>
        </w:rPr>
        <w:t>a relation permet d’expliquer 85</w:t>
      </w:r>
      <w:r w:rsidR="00D300BA">
        <w:rPr>
          <w:rFonts w:ascii="Arial" w:hAnsi="Arial" w:cs="Arial"/>
        </w:rPr>
        <w:t> </w:t>
      </w:r>
      <w:r w:rsidRPr="003472B6">
        <w:rPr>
          <w:rFonts w:ascii="Arial" w:hAnsi="Arial" w:cs="Arial"/>
        </w:rPr>
        <w:t>% des variations des mises en cha</w:t>
      </w:r>
      <w:r>
        <w:rPr>
          <w:rFonts w:ascii="Arial" w:hAnsi="Arial" w:cs="Arial"/>
        </w:rPr>
        <w:t>ntier de bâtiments industriels.</w:t>
      </w:r>
    </w:p>
    <w:p w14:paraId="1809B38E" w14:textId="77777777" w:rsidR="00E11534" w:rsidRDefault="00E11534" w:rsidP="00E11534">
      <w:pPr>
        <w:pStyle w:val="Sansinterligne"/>
        <w:spacing w:line="360" w:lineRule="auto"/>
        <w:rPr>
          <w:rFonts w:ascii="Arial" w:hAnsi="Arial" w:cs="Arial"/>
        </w:rPr>
      </w:pPr>
    </w:p>
    <w:p w14:paraId="4739FB65" w14:textId="77777777" w:rsidR="00E11534" w:rsidRDefault="00E11534" w:rsidP="00E11534">
      <w:pPr>
        <w:rPr>
          <w:rFonts w:ascii="Arial" w:hAnsi="Arial" w:cs="Arial"/>
        </w:rPr>
      </w:pPr>
      <w:r>
        <w:rPr>
          <w:rFonts w:ascii="Arial" w:hAnsi="Arial" w:cs="Arial"/>
        </w:rPr>
        <w:br w:type="page"/>
      </w:r>
    </w:p>
    <w:p w14:paraId="166E2B5D" w14:textId="77777777" w:rsidR="00E11534" w:rsidRPr="003472B6" w:rsidRDefault="00E11534" w:rsidP="00E11534">
      <w:pPr>
        <w:pStyle w:val="Sansinterligne"/>
        <w:spacing w:line="360" w:lineRule="auto"/>
        <w:jc w:val="center"/>
        <w:rPr>
          <w:rFonts w:ascii="Arial" w:hAnsi="Arial" w:cs="Arial"/>
          <w:b/>
        </w:rPr>
      </w:pPr>
      <w:r>
        <w:rPr>
          <w:rFonts w:ascii="Arial" w:hAnsi="Arial" w:cs="Arial"/>
        </w:rPr>
        <w:lastRenderedPageBreak/>
        <w:t xml:space="preserve">Graphique A.2 – </w:t>
      </w:r>
      <w:r>
        <w:rPr>
          <w:rFonts w:ascii="Arial" w:hAnsi="Arial" w:cs="Arial"/>
          <w:b/>
        </w:rPr>
        <w:t>Surfaces commencées</w:t>
      </w:r>
      <w:r w:rsidRPr="003472B6">
        <w:rPr>
          <w:rFonts w:ascii="Arial" w:hAnsi="Arial" w:cs="Arial"/>
          <w:b/>
        </w:rPr>
        <w:t xml:space="preserve"> de </w:t>
      </w:r>
      <w:r>
        <w:rPr>
          <w:rFonts w:ascii="Arial" w:hAnsi="Arial" w:cs="Arial"/>
          <w:b/>
        </w:rPr>
        <w:t>bâtiments industriels et assimilés</w:t>
      </w:r>
    </w:p>
    <w:p w14:paraId="1B825A64" w14:textId="77777777" w:rsidR="00E11534" w:rsidRPr="000D0A54" w:rsidRDefault="00E11534" w:rsidP="00E11534">
      <w:pPr>
        <w:pStyle w:val="Sansinterligne"/>
        <w:spacing w:line="360" w:lineRule="auto"/>
        <w:jc w:val="center"/>
        <w:rPr>
          <w:rFonts w:ascii="Arial" w:hAnsi="Arial" w:cs="Arial"/>
        </w:rPr>
      </w:pPr>
      <w:r w:rsidRPr="000E6529">
        <w:rPr>
          <w:noProof/>
          <w:lang w:eastAsia="fr-FR"/>
        </w:rPr>
        <w:drawing>
          <wp:inline distT="0" distB="0" distL="0" distR="0" wp14:anchorId="5EDEFDD2" wp14:editId="2BBC41B9">
            <wp:extent cx="5695200" cy="3150000"/>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200" cy="3150000"/>
                    </a:xfrm>
                    <a:prstGeom prst="rect">
                      <a:avLst/>
                    </a:prstGeom>
                    <a:noFill/>
                    <a:ln>
                      <a:noFill/>
                    </a:ln>
                  </pic:spPr>
                </pic:pic>
              </a:graphicData>
            </a:graphic>
          </wp:inline>
        </w:drawing>
      </w:r>
    </w:p>
    <w:p w14:paraId="72D26C5E" w14:textId="77777777" w:rsidR="00E11534" w:rsidRPr="000D0A54"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 à partir des données Sit@del2, MTES/CGDD/SDES</w:t>
      </w:r>
    </w:p>
    <w:p w14:paraId="0D943B47" w14:textId="77777777" w:rsidR="00E11534" w:rsidRPr="000D0A54" w:rsidRDefault="00E11534" w:rsidP="00E11534">
      <w:pPr>
        <w:pStyle w:val="Sansinterligne"/>
        <w:spacing w:line="360" w:lineRule="auto"/>
        <w:jc w:val="both"/>
        <w:rPr>
          <w:rFonts w:ascii="Arial" w:hAnsi="Arial" w:cs="Arial"/>
          <w:i/>
        </w:rPr>
      </w:pPr>
    </w:p>
    <w:p w14:paraId="0AB2C047" w14:textId="77777777" w:rsidR="00E11534" w:rsidRPr="003472B6" w:rsidRDefault="00E11534" w:rsidP="00E11534">
      <w:pPr>
        <w:pStyle w:val="Sansinterligne"/>
        <w:spacing w:line="360" w:lineRule="auto"/>
        <w:jc w:val="both"/>
        <w:rPr>
          <w:rFonts w:ascii="Arial" w:hAnsi="Arial" w:cs="Arial"/>
          <w:i/>
        </w:rPr>
      </w:pPr>
      <w:r w:rsidRPr="003472B6">
        <w:rPr>
          <w:rFonts w:ascii="Arial" w:hAnsi="Arial" w:cs="Arial"/>
          <w:i/>
        </w:rPr>
        <w:t>Prévisions intra-échantillon</w:t>
      </w:r>
    </w:p>
    <w:p w14:paraId="06872117" w14:textId="77777777" w:rsidR="00E11534" w:rsidRDefault="00E11534" w:rsidP="00E11534">
      <w:pPr>
        <w:pStyle w:val="Sansinterligne"/>
        <w:spacing w:line="360" w:lineRule="auto"/>
        <w:jc w:val="both"/>
        <w:rPr>
          <w:rFonts w:ascii="Arial" w:hAnsi="Arial" w:cs="Arial"/>
        </w:rPr>
      </w:pPr>
    </w:p>
    <w:p w14:paraId="090D12CD" w14:textId="212D1AC4" w:rsidR="00E11534" w:rsidRPr="002B0050" w:rsidRDefault="00E11534" w:rsidP="00E11534">
      <w:pPr>
        <w:pStyle w:val="Sansinterligne"/>
        <w:spacing w:line="360" w:lineRule="auto"/>
        <w:jc w:val="both"/>
        <w:rPr>
          <w:rFonts w:ascii="Arial" w:hAnsi="Arial" w:cs="Arial"/>
        </w:rPr>
      </w:pPr>
      <w:r w:rsidRPr="003472B6">
        <w:rPr>
          <w:rFonts w:ascii="Arial" w:hAnsi="Arial" w:cs="Arial"/>
        </w:rPr>
        <w:t>Les tendanc</w:t>
      </w:r>
      <w:r>
        <w:rPr>
          <w:rFonts w:ascii="Arial" w:hAnsi="Arial" w:cs="Arial"/>
        </w:rPr>
        <w:t xml:space="preserve">es ressortent moins bien restituées que </w:t>
      </w:r>
      <w:r w:rsidR="00D300BA">
        <w:rPr>
          <w:rFonts w:ascii="Arial" w:hAnsi="Arial" w:cs="Arial"/>
        </w:rPr>
        <w:t xml:space="preserve">pour </w:t>
      </w:r>
      <w:r>
        <w:rPr>
          <w:rFonts w:ascii="Arial" w:hAnsi="Arial" w:cs="Arial"/>
        </w:rPr>
        <w:t xml:space="preserve">les permis (cf. tableau A.4), notamment </w:t>
      </w:r>
      <w:r w:rsidR="00D300BA">
        <w:rPr>
          <w:rFonts w:ascii="Arial" w:hAnsi="Arial" w:cs="Arial"/>
        </w:rPr>
        <w:t>en</w:t>
      </w:r>
      <w:r>
        <w:rPr>
          <w:rFonts w:ascii="Arial" w:hAnsi="Arial" w:cs="Arial"/>
        </w:rPr>
        <w:t xml:space="preserve"> 2018. Pour les années 2016 et 2017, les niveaux de croissance estimés s’inscrivent en-deçà de ceux </w:t>
      </w:r>
      <w:r w:rsidRPr="002B0050">
        <w:rPr>
          <w:rFonts w:ascii="Arial" w:hAnsi="Arial" w:cs="Arial"/>
        </w:rPr>
        <w:t xml:space="preserve">observés. </w:t>
      </w:r>
    </w:p>
    <w:p w14:paraId="5596F2BA" w14:textId="77777777" w:rsidR="00E11534" w:rsidRPr="002B0050" w:rsidRDefault="00E11534" w:rsidP="00E11534">
      <w:pPr>
        <w:pStyle w:val="Sansinterligne"/>
        <w:spacing w:line="360" w:lineRule="auto"/>
        <w:rPr>
          <w:rFonts w:ascii="Arial" w:hAnsi="Arial" w:cs="Arial"/>
        </w:rPr>
      </w:pPr>
    </w:p>
    <w:p w14:paraId="1AEAA283" w14:textId="77777777" w:rsidR="00E11534" w:rsidRDefault="00E11534" w:rsidP="00E11534">
      <w:pPr>
        <w:pStyle w:val="Sansinterligne"/>
        <w:spacing w:line="360" w:lineRule="auto"/>
        <w:jc w:val="center"/>
        <w:rPr>
          <w:rFonts w:ascii="Arial" w:hAnsi="Arial" w:cs="Arial"/>
          <w:b/>
        </w:rPr>
      </w:pPr>
      <w:r>
        <w:rPr>
          <w:rFonts w:ascii="Arial" w:hAnsi="Arial" w:cs="Arial"/>
        </w:rPr>
        <w:t xml:space="preserve">Tableau A.4 – </w:t>
      </w:r>
      <w:r>
        <w:rPr>
          <w:rFonts w:ascii="Arial" w:hAnsi="Arial" w:cs="Arial"/>
          <w:b/>
        </w:rPr>
        <w:t>P</w:t>
      </w:r>
      <w:r w:rsidRPr="005C6880">
        <w:rPr>
          <w:rFonts w:ascii="Arial" w:hAnsi="Arial" w:cs="Arial"/>
          <w:b/>
        </w:rPr>
        <w:t>révisions intra-échantillon</w:t>
      </w:r>
      <w:r>
        <w:rPr>
          <w:rFonts w:ascii="Arial" w:hAnsi="Arial" w:cs="Arial"/>
          <w:b/>
        </w:rPr>
        <w:t xml:space="preserve"> des surfaces commencées de bâtiments industriels et assimilés</w:t>
      </w:r>
    </w:p>
    <w:p w14:paraId="3669465F" w14:textId="77777777" w:rsidR="00E11534" w:rsidRDefault="00E11534" w:rsidP="00E11534">
      <w:pPr>
        <w:pStyle w:val="Sansinterligne"/>
        <w:spacing w:line="360" w:lineRule="auto"/>
        <w:jc w:val="center"/>
        <w:rPr>
          <w:rFonts w:ascii="Arial" w:hAnsi="Arial" w:cs="Arial"/>
          <w:b/>
        </w:rPr>
      </w:pPr>
      <w:r w:rsidRPr="00F72DAA">
        <w:rPr>
          <w:noProof/>
          <w:lang w:eastAsia="fr-FR"/>
        </w:rPr>
        <w:drawing>
          <wp:inline distT="0" distB="0" distL="0" distR="0" wp14:anchorId="70322747" wp14:editId="4F19BD29">
            <wp:extent cx="4714875" cy="11049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4875" cy="1104900"/>
                    </a:xfrm>
                    <a:prstGeom prst="rect">
                      <a:avLst/>
                    </a:prstGeom>
                    <a:noFill/>
                    <a:ln>
                      <a:noFill/>
                    </a:ln>
                  </pic:spPr>
                </pic:pic>
              </a:graphicData>
            </a:graphic>
          </wp:inline>
        </w:drawing>
      </w:r>
    </w:p>
    <w:p w14:paraId="7FBD68A0" w14:textId="77777777" w:rsidR="00E11534" w:rsidRPr="000D0A54" w:rsidRDefault="00E11534" w:rsidP="00E11534">
      <w:pPr>
        <w:pStyle w:val="Sansinterligne"/>
        <w:spacing w:line="360" w:lineRule="auto"/>
        <w:jc w:val="center"/>
        <w:rPr>
          <w:rFonts w:ascii="Arial" w:hAnsi="Arial" w:cs="Arial"/>
          <w:i/>
          <w:sz w:val="20"/>
        </w:rPr>
      </w:pPr>
      <w:r w:rsidRPr="000D0A54">
        <w:rPr>
          <w:rFonts w:ascii="Arial" w:hAnsi="Arial" w:cs="Arial"/>
          <w:i/>
          <w:sz w:val="20"/>
        </w:rPr>
        <w:t>Source : FFB à partir des données Sit@del2, MTES/CGDD/SDES</w:t>
      </w:r>
    </w:p>
    <w:p w14:paraId="2063B238" w14:textId="77777777" w:rsidR="00E11534" w:rsidRPr="000D0A54" w:rsidRDefault="00E11534" w:rsidP="00E11534">
      <w:pPr>
        <w:pStyle w:val="Sansinterligne"/>
        <w:spacing w:line="360" w:lineRule="auto"/>
        <w:jc w:val="both"/>
        <w:rPr>
          <w:rFonts w:ascii="Arial" w:hAnsi="Arial" w:cs="Arial"/>
        </w:rPr>
      </w:pPr>
    </w:p>
    <w:p w14:paraId="2BB8DDFE" w14:textId="77777777" w:rsidR="00E11534" w:rsidRPr="000D0A54" w:rsidRDefault="00E11534" w:rsidP="00E11534">
      <w:pPr>
        <w:pStyle w:val="Sansinterligne"/>
        <w:spacing w:line="360" w:lineRule="auto"/>
        <w:jc w:val="both"/>
        <w:rPr>
          <w:rFonts w:ascii="Arial" w:hAnsi="Arial" w:cs="Arial"/>
        </w:rPr>
      </w:pPr>
    </w:p>
    <w:p w14:paraId="6E293655" w14:textId="77777777" w:rsidR="00E11534" w:rsidRPr="000D0A54" w:rsidRDefault="00E11534" w:rsidP="00E11534">
      <w:pPr>
        <w:spacing w:after="0" w:line="360" w:lineRule="auto"/>
        <w:rPr>
          <w:rFonts w:ascii="Arial" w:hAnsi="Arial" w:cs="Arial"/>
          <w:b/>
          <w:u w:val="single"/>
        </w:rPr>
      </w:pPr>
      <w:r w:rsidRPr="000D0A54">
        <w:rPr>
          <w:rFonts w:ascii="Arial" w:hAnsi="Arial" w:cs="Arial"/>
          <w:b/>
          <w:u w:val="single"/>
        </w:rPr>
        <w:br w:type="page"/>
      </w:r>
    </w:p>
    <w:p w14:paraId="3E164BA5" w14:textId="77777777" w:rsidR="00E11534" w:rsidRPr="000D0A54" w:rsidRDefault="00E11534" w:rsidP="00E11534">
      <w:pPr>
        <w:spacing w:after="0" w:line="360" w:lineRule="auto"/>
        <w:jc w:val="both"/>
        <w:rPr>
          <w:rFonts w:ascii="Arial" w:hAnsi="Arial" w:cs="Arial"/>
          <w:b/>
          <w:u w:val="single"/>
        </w:rPr>
      </w:pPr>
      <w:r w:rsidRPr="000D0A54">
        <w:rPr>
          <w:rFonts w:ascii="Arial" w:hAnsi="Arial" w:cs="Arial"/>
          <w:b/>
          <w:u w:val="single"/>
        </w:rPr>
        <w:lastRenderedPageBreak/>
        <w:t xml:space="preserve">II. Amélioration-entretien </w:t>
      </w:r>
    </w:p>
    <w:p w14:paraId="7860E104" w14:textId="77777777" w:rsidR="00E11534" w:rsidRPr="000D0A54" w:rsidRDefault="00E11534" w:rsidP="00E11534">
      <w:pPr>
        <w:spacing w:after="0" w:line="360" w:lineRule="auto"/>
        <w:jc w:val="both"/>
        <w:rPr>
          <w:rFonts w:ascii="Arial" w:hAnsi="Arial" w:cs="Arial"/>
        </w:rPr>
      </w:pPr>
    </w:p>
    <w:p w14:paraId="37A53BC2" w14:textId="77777777" w:rsidR="00E11534" w:rsidRPr="000D0A54" w:rsidRDefault="00E11534" w:rsidP="00E11534">
      <w:pPr>
        <w:spacing w:after="0" w:line="360" w:lineRule="auto"/>
        <w:jc w:val="both"/>
        <w:rPr>
          <w:rFonts w:ascii="Arial" w:hAnsi="Arial" w:cs="Arial"/>
          <w:i/>
        </w:rPr>
      </w:pPr>
      <w:r w:rsidRPr="000D0A54">
        <w:rPr>
          <w:rFonts w:ascii="Arial" w:hAnsi="Arial" w:cs="Arial"/>
          <w:i/>
        </w:rPr>
        <w:t>Le modèle</w:t>
      </w:r>
    </w:p>
    <w:p w14:paraId="58F24B21" w14:textId="77777777" w:rsidR="00E11534" w:rsidRPr="000D0A54" w:rsidRDefault="00E11534" w:rsidP="00E11534">
      <w:pPr>
        <w:spacing w:after="0" w:line="360" w:lineRule="auto"/>
        <w:jc w:val="both"/>
        <w:rPr>
          <w:rFonts w:ascii="Arial" w:hAnsi="Arial" w:cs="Arial"/>
        </w:rPr>
      </w:pPr>
    </w:p>
    <w:p w14:paraId="62392008" w14:textId="77777777" w:rsidR="00E11534" w:rsidRPr="000D0A54" w:rsidRDefault="00E11534" w:rsidP="00E11534">
      <w:pPr>
        <w:spacing w:after="0" w:line="360" w:lineRule="auto"/>
        <w:jc w:val="both"/>
        <w:rPr>
          <w:rFonts w:ascii="Arial" w:hAnsi="Arial" w:cs="Arial"/>
        </w:rPr>
      </w:pPr>
      <w:r w:rsidRPr="000D0A54">
        <w:rPr>
          <w:rFonts w:ascii="Arial" w:hAnsi="Arial" w:cs="Arial"/>
        </w:rPr>
        <w:t>Le modèle d’estimation de l’activité d’amélioration-entretien repose sur plusieurs types de variables :</w:t>
      </w:r>
    </w:p>
    <w:p w14:paraId="448EB417" w14:textId="5A688640" w:rsidR="00E11534" w:rsidRPr="000D0A54" w:rsidRDefault="00E11534" w:rsidP="00E11534">
      <w:pPr>
        <w:numPr>
          <w:ilvl w:val="0"/>
          <w:numId w:val="10"/>
        </w:numPr>
        <w:spacing w:after="0" w:line="360" w:lineRule="auto"/>
        <w:contextualSpacing/>
        <w:jc w:val="both"/>
        <w:rPr>
          <w:rFonts w:ascii="Arial" w:hAnsi="Arial" w:cs="Arial"/>
        </w:rPr>
      </w:pPr>
      <w:r w:rsidRPr="000D0A54">
        <w:rPr>
          <w:rFonts w:ascii="Arial" w:hAnsi="Arial" w:cs="Arial"/>
        </w:rPr>
        <w:t xml:space="preserve">l’activité </w:t>
      </w:r>
      <w:r w:rsidR="00D32257">
        <w:rPr>
          <w:rFonts w:ascii="Arial" w:hAnsi="Arial" w:cs="Arial"/>
        </w:rPr>
        <w:t>du</w:t>
      </w:r>
      <w:r w:rsidRPr="000D0A54">
        <w:rPr>
          <w:rFonts w:ascii="Arial" w:hAnsi="Arial" w:cs="Arial"/>
        </w:rPr>
        <w:t xml:space="preserve"> trimestre</w:t>
      </w:r>
      <w:r w:rsidR="00D32257">
        <w:rPr>
          <w:rFonts w:ascii="Arial" w:hAnsi="Arial" w:cs="Arial"/>
        </w:rPr>
        <w:t xml:space="preserve"> précédent</w:t>
      </w:r>
      <w:r w:rsidRPr="000D0A54">
        <w:rPr>
          <w:rFonts w:ascii="Arial" w:hAnsi="Arial" w:cs="Arial"/>
        </w:rPr>
        <w:t xml:space="preserve"> (</w:t>
      </w:r>
      <w:r w:rsidRPr="000D0A54">
        <w:rPr>
          <w:rFonts w:ascii="Arial" w:hAnsi="Arial" w:cs="Arial"/>
          <w:i/>
        </w:rPr>
        <w:t>indae1</w:t>
      </w:r>
      <w:r w:rsidRPr="000D0A54">
        <w:rPr>
          <w:rFonts w:ascii="Arial" w:hAnsi="Arial" w:cs="Arial"/>
        </w:rPr>
        <w:t>) ;</w:t>
      </w:r>
    </w:p>
    <w:p w14:paraId="319FA063" w14:textId="77777777"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une variable macro-économique, à savoir le taux de chômage (</w:t>
      </w:r>
      <w:proofErr w:type="spellStart"/>
      <w:r w:rsidRPr="000D0A54">
        <w:rPr>
          <w:rFonts w:ascii="Arial" w:hAnsi="Arial" w:cs="Arial"/>
          <w:i/>
        </w:rPr>
        <w:t>txchom</w:t>
      </w:r>
      <w:proofErr w:type="spellEnd"/>
      <w:r w:rsidRPr="000D0A54">
        <w:rPr>
          <w:rFonts w:ascii="Arial" w:hAnsi="Arial" w:cs="Arial"/>
        </w:rPr>
        <w:t>) ;</w:t>
      </w:r>
    </w:p>
    <w:p w14:paraId="53D8BB1F" w14:textId="77777777"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trois variables indicatrices pour tenir compte de la saisonnalité (</w:t>
      </w:r>
      <w:r w:rsidRPr="000D0A54">
        <w:rPr>
          <w:rFonts w:ascii="Arial" w:hAnsi="Arial" w:cs="Arial"/>
          <w:i/>
        </w:rPr>
        <w:t>trim1prime</w:t>
      </w:r>
      <w:r w:rsidRPr="000D0A54">
        <w:rPr>
          <w:rFonts w:ascii="Arial" w:hAnsi="Arial" w:cs="Arial"/>
        </w:rPr>
        <w:t xml:space="preserve">, </w:t>
      </w:r>
      <w:r w:rsidRPr="000D0A54">
        <w:rPr>
          <w:rFonts w:ascii="Arial" w:hAnsi="Arial" w:cs="Arial"/>
          <w:i/>
        </w:rPr>
        <w:t>trim2prime</w:t>
      </w:r>
      <w:r w:rsidRPr="000D0A54">
        <w:rPr>
          <w:rFonts w:ascii="Arial" w:hAnsi="Arial" w:cs="Arial"/>
        </w:rPr>
        <w:t xml:space="preserve"> et </w:t>
      </w:r>
      <w:r w:rsidRPr="000D0A54">
        <w:rPr>
          <w:rFonts w:ascii="Arial" w:hAnsi="Arial" w:cs="Arial"/>
          <w:i/>
        </w:rPr>
        <w:t>trim3prime</w:t>
      </w:r>
      <w:r w:rsidRPr="000D0A54">
        <w:rPr>
          <w:rFonts w:ascii="Arial" w:hAnsi="Arial" w:cs="Arial"/>
        </w:rPr>
        <w:t>) ;</w:t>
      </w:r>
    </w:p>
    <w:p w14:paraId="3C8F8734" w14:textId="77777777"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une variable qualitative pour modéliser l’effet de la mise en place de la TVA à taux réduit pour les travaux dans des logements de plus de deux ans depuis le 15 septembre 1999 (</w:t>
      </w:r>
      <w:proofErr w:type="spellStart"/>
      <w:r w:rsidRPr="000D0A54">
        <w:rPr>
          <w:rFonts w:ascii="Arial" w:hAnsi="Arial" w:cs="Arial"/>
          <w:i/>
        </w:rPr>
        <w:t>effettva</w:t>
      </w:r>
      <w:proofErr w:type="spellEnd"/>
      <w:r w:rsidRPr="000D0A54">
        <w:rPr>
          <w:rFonts w:ascii="Arial" w:hAnsi="Arial" w:cs="Arial"/>
        </w:rPr>
        <w:t xml:space="preserve">). Elle vaut 0 avant le quatrième trimestre 1999, 1 entre le quatrième trimestre 1999 et le quatrième trimestre 2011, 0,89 entre le premier trimestre 2012 et le quatrième trimestre 2013 pour tenir compte du relèvement du </w:t>
      </w:r>
      <w:r>
        <w:rPr>
          <w:rFonts w:ascii="Arial" w:hAnsi="Arial" w:cs="Arial"/>
        </w:rPr>
        <w:t>taux réduit à 7 % et enfin, 0,85</w:t>
      </w:r>
      <w:r w:rsidRPr="000D0A54">
        <w:rPr>
          <w:rFonts w:ascii="Arial" w:hAnsi="Arial" w:cs="Arial"/>
        </w:rPr>
        <w:t xml:space="preserve"> à partir du premier trimestre 2014 afin de simuler l’impact du retour à 5,5 % du taux réduit pour les travaux de rénovation énergétique des logements, soit une petite moitié du marché de l’entretien du logement, mais également l’effet de la hausse à 10 % du taux réduit pour les autres travaux dans le logement ;</w:t>
      </w:r>
    </w:p>
    <w:p w14:paraId="6942A1CA" w14:textId="77777777"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une variable binaire pour isoler l’effet du surcroît exceptionnel de travaux lié aux deux tempêtes de fin décembre 1999 (</w:t>
      </w:r>
      <w:proofErr w:type="spellStart"/>
      <w:r w:rsidRPr="000D0A54">
        <w:rPr>
          <w:rFonts w:ascii="Arial" w:hAnsi="Arial" w:cs="Arial"/>
          <w:i/>
        </w:rPr>
        <w:t>effettempete</w:t>
      </w:r>
      <w:proofErr w:type="spellEnd"/>
      <w:r w:rsidRPr="000D0A54">
        <w:rPr>
          <w:rFonts w:ascii="Arial" w:hAnsi="Arial" w:cs="Arial"/>
        </w:rPr>
        <w:t>) ;</w:t>
      </w:r>
    </w:p>
    <w:p w14:paraId="3C45C2A9" w14:textId="77777777"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une variable quantitative retraçant les montants alloués de crédit d’impôt en faveur des dépenses d’équipement de l’habitation principale mis en place en 2000, puis du Crédit d’impôt développement durable (CIDD) lancé en 2007 et remplacé par le Crédit d’impôt transition énergétique (CITE) en septembre 2014 (</w:t>
      </w:r>
      <w:r w:rsidRPr="000D0A54">
        <w:rPr>
          <w:rFonts w:ascii="Arial" w:hAnsi="Arial" w:cs="Arial"/>
          <w:i/>
        </w:rPr>
        <w:t>credimpplus1_aptva</w:t>
      </w:r>
      <w:r>
        <w:rPr>
          <w:rFonts w:ascii="Arial" w:hAnsi="Arial" w:cs="Arial"/>
        </w:rPr>
        <w:t>) ;</w:t>
      </w:r>
    </w:p>
    <w:p w14:paraId="5B49A609" w14:textId="76F3362A" w:rsidR="00E11534" w:rsidRPr="000D0A54" w:rsidRDefault="00E11534" w:rsidP="00E11534">
      <w:pPr>
        <w:numPr>
          <w:ilvl w:val="0"/>
          <w:numId w:val="9"/>
        </w:numPr>
        <w:spacing w:after="0" w:line="360" w:lineRule="auto"/>
        <w:jc w:val="both"/>
        <w:rPr>
          <w:rFonts w:ascii="Arial" w:hAnsi="Arial" w:cs="Arial"/>
        </w:rPr>
      </w:pPr>
      <w:r w:rsidRPr="000D0A54">
        <w:rPr>
          <w:rFonts w:ascii="Arial" w:hAnsi="Arial" w:cs="Arial"/>
        </w:rPr>
        <w:t xml:space="preserve">une variable qualitative pour modéliser, par palier, le nombre annuel de transactions de logements anciens </w:t>
      </w:r>
      <w:r w:rsidR="00D32257">
        <w:rPr>
          <w:rFonts w:ascii="Arial" w:hAnsi="Arial" w:cs="Arial"/>
        </w:rPr>
        <w:t>l’année précédente</w:t>
      </w:r>
      <w:r w:rsidRPr="000D0A54">
        <w:rPr>
          <w:rFonts w:ascii="Arial" w:hAnsi="Arial" w:cs="Arial"/>
        </w:rPr>
        <w:t xml:space="preserve"> (</w:t>
      </w:r>
      <w:r w:rsidRPr="000D0A54">
        <w:rPr>
          <w:rFonts w:ascii="Arial" w:hAnsi="Arial" w:cs="Arial"/>
          <w:i/>
        </w:rPr>
        <w:t>translogtanc_qual4</w:t>
      </w:r>
      <w:r w:rsidRPr="000D0A54">
        <w:rPr>
          <w:rFonts w:ascii="Arial" w:hAnsi="Arial" w:cs="Arial"/>
        </w:rPr>
        <w:t>), ces acquisitions étant souvent propices à la réalisation de travaux importants.</w:t>
      </w:r>
    </w:p>
    <w:p w14:paraId="33737C8A" w14:textId="77777777" w:rsidR="00E11534" w:rsidRPr="000D0A54" w:rsidRDefault="00E11534" w:rsidP="00E11534">
      <w:pPr>
        <w:spacing w:after="0" w:line="360" w:lineRule="auto"/>
        <w:jc w:val="both"/>
        <w:rPr>
          <w:rFonts w:ascii="Arial" w:hAnsi="Arial" w:cs="Arial"/>
        </w:rPr>
      </w:pPr>
      <w:r w:rsidRPr="000D0A54">
        <w:rPr>
          <w:rFonts w:ascii="Arial" w:hAnsi="Arial" w:cs="Arial"/>
        </w:rPr>
        <w:t xml:space="preserve">Le modèle est complété par </w:t>
      </w:r>
      <w:r>
        <w:rPr>
          <w:rFonts w:ascii="Arial" w:hAnsi="Arial" w:cs="Arial"/>
        </w:rPr>
        <w:t>une indicatrice</w:t>
      </w:r>
      <w:r w:rsidRPr="000D0A54">
        <w:rPr>
          <w:rFonts w:ascii="Arial" w:hAnsi="Arial" w:cs="Arial"/>
        </w:rPr>
        <w:t xml:space="preserve"> visant à corriger </w:t>
      </w:r>
      <w:r>
        <w:rPr>
          <w:rFonts w:ascii="Arial" w:hAnsi="Arial" w:cs="Arial"/>
        </w:rPr>
        <w:t>un point</w:t>
      </w:r>
      <w:r w:rsidRPr="000D0A54">
        <w:rPr>
          <w:rFonts w:ascii="Arial" w:hAnsi="Arial" w:cs="Arial"/>
        </w:rPr>
        <w:t xml:space="preserve"> aberrant, mal restitué par le modèle, </w:t>
      </w:r>
      <w:r>
        <w:rPr>
          <w:rFonts w:ascii="Arial" w:hAnsi="Arial" w:cs="Arial"/>
        </w:rPr>
        <w:t>à savoir au premier trimestre 2019, elle est notée</w:t>
      </w:r>
      <w:r w:rsidRPr="000D0A54">
        <w:rPr>
          <w:rFonts w:ascii="Arial" w:hAnsi="Arial" w:cs="Arial"/>
        </w:rPr>
        <w:t xml:space="preserve"> </w:t>
      </w:r>
      <w:r w:rsidRPr="000D0A54">
        <w:rPr>
          <w:rFonts w:ascii="Arial" w:hAnsi="Arial" w:cs="Arial"/>
          <w:i/>
        </w:rPr>
        <w:t>dum1</w:t>
      </w:r>
      <w:r>
        <w:rPr>
          <w:rFonts w:ascii="Arial" w:hAnsi="Arial" w:cs="Arial"/>
        </w:rPr>
        <w:t>.</w:t>
      </w:r>
    </w:p>
    <w:p w14:paraId="707D88BB" w14:textId="77777777" w:rsidR="00E11534" w:rsidRPr="000D0A54" w:rsidRDefault="00E11534" w:rsidP="00E11534">
      <w:pPr>
        <w:spacing w:after="0" w:line="360" w:lineRule="auto"/>
        <w:jc w:val="both"/>
        <w:rPr>
          <w:rFonts w:ascii="Arial" w:hAnsi="Arial" w:cs="Arial"/>
        </w:rPr>
      </w:pPr>
    </w:p>
    <w:p w14:paraId="1AF35C88" w14:textId="77777777" w:rsidR="00E11534" w:rsidRPr="000D0A54" w:rsidRDefault="00E11534" w:rsidP="00E11534">
      <w:pPr>
        <w:spacing w:after="0" w:line="360" w:lineRule="auto"/>
        <w:rPr>
          <w:rFonts w:ascii="Arial" w:hAnsi="Arial" w:cs="Arial"/>
        </w:rPr>
      </w:pPr>
      <w:r w:rsidRPr="000D0A54">
        <w:rPr>
          <w:rFonts w:ascii="Arial" w:hAnsi="Arial" w:cs="Arial"/>
        </w:rPr>
        <w:br w:type="page"/>
      </w:r>
    </w:p>
    <w:p w14:paraId="053184C8" w14:textId="77777777" w:rsidR="00E11534" w:rsidRPr="000D0A54" w:rsidRDefault="00E11534" w:rsidP="00E11534">
      <w:pPr>
        <w:spacing w:after="0" w:line="360" w:lineRule="auto"/>
        <w:jc w:val="center"/>
        <w:rPr>
          <w:rFonts w:ascii="Arial" w:hAnsi="Arial" w:cs="Arial"/>
        </w:rPr>
      </w:pPr>
      <w:r>
        <w:rPr>
          <w:rFonts w:ascii="Arial" w:hAnsi="Arial" w:cs="Arial"/>
        </w:rPr>
        <w:lastRenderedPageBreak/>
        <w:t>Tableau A.5</w:t>
      </w:r>
      <w:r w:rsidRPr="000D0A54">
        <w:rPr>
          <w:rFonts w:ascii="Arial" w:hAnsi="Arial" w:cs="Arial"/>
        </w:rPr>
        <w:t xml:space="preserve"> – </w:t>
      </w:r>
      <w:r w:rsidRPr="000D0A54">
        <w:rPr>
          <w:rFonts w:ascii="Arial" w:hAnsi="Arial" w:cs="Arial"/>
          <w:b/>
        </w:rPr>
        <w:t>Estimation de l’activité en amélioration-entretien</w:t>
      </w:r>
    </w:p>
    <w:p w14:paraId="57BFA90C" w14:textId="77777777" w:rsidR="00E11534" w:rsidRPr="000D0A54" w:rsidRDefault="00E11534" w:rsidP="00E11534">
      <w:pPr>
        <w:spacing w:after="0" w:line="360" w:lineRule="auto"/>
        <w:jc w:val="center"/>
        <w:rPr>
          <w:rFonts w:ascii="Arial" w:hAnsi="Arial" w:cs="Arial"/>
        </w:rPr>
      </w:pPr>
      <w:r w:rsidRPr="005D6FCB">
        <w:rPr>
          <w:noProof/>
          <w:lang w:eastAsia="fr-FR"/>
        </w:rPr>
        <w:drawing>
          <wp:inline distT="0" distB="0" distL="0" distR="0" wp14:anchorId="297ABD2A" wp14:editId="64B7C3FB">
            <wp:extent cx="4993200" cy="4831200"/>
            <wp:effectExtent l="0" t="0" r="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93200" cy="4831200"/>
                    </a:xfrm>
                    <a:prstGeom prst="rect">
                      <a:avLst/>
                    </a:prstGeom>
                  </pic:spPr>
                </pic:pic>
              </a:graphicData>
            </a:graphic>
          </wp:inline>
        </w:drawing>
      </w:r>
    </w:p>
    <w:p w14:paraId="6EC51AA2" w14:textId="77777777" w:rsidR="00E11534" w:rsidRPr="000D0A54" w:rsidRDefault="00E11534" w:rsidP="00E11534">
      <w:pPr>
        <w:spacing w:after="0" w:line="360" w:lineRule="auto"/>
        <w:jc w:val="center"/>
        <w:rPr>
          <w:rFonts w:ascii="Arial" w:hAnsi="Arial" w:cs="Arial"/>
          <w:i/>
          <w:sz w:val="20"/>
        </w:rPr>
      </w:pPr>
      <w:r w:rsidRPr="000D0A54">
        <w:rPr>
          <w:rFonts w:ascii="Arial" w:hAnsi="Arial" w:cs="Arial"/>
          <w:i/>
          <w:sz w:val="20"/>
        </w:rPr>
        <w:t>Source : FFB</w:t>
      </w:r>
    </w:p>
    <w:p w14:paraId="1A9B9A90" w14:textId="77777777" w:rsidR="00E11534" w:rsidRPr="000D0A54" w:rsidRDefault="00E11534" w:rsidP="00E11534">
      <w:pPr>
        <w:spacing w:after="0" w:line="360" w:lineRule="auto"/>
        <w:jc w:val="both"/>
        <w:rPr>
          <w:rFonts w:ascii="Arial" w:hAnsi="Arial" w:cs="Arial"/>
        </w:rPr>
      </w:pPr>
    </w:p>
    <w:p w14:paraId="5E853464" w14:textId="77777777" w:rsidR="00E11534" w:rsidRPr="000D0A54" w:rsidRDefault="00E11534" w:rsidP="00E11534">
      <w:pPr>
        <w:spacing w:after="0" w:line="360" w:lineRule="auto"/>
        <w:jc w:val="both"/>
        <w:rPr>
          <w:rFonts w:ascii="Arial" w:hAnsi="Arial" w:cs="Arial"/>
        </w:rPr>
      </w:pPr>
      <w:r>
        <w:rPr>
          <w:rFonts w:ascii="Arial" w:hAnsi="Arial" w:cs="Arial"/>
        </w:rPr>
        <w:t>Ainsi, 97</w:t>
      </w:r>
      <w:r w:rsidRPr="000D0A54">
        <w:rPr>
          <w:rFonts w:ascii="Arial" w:hAnsi="Arial" w:cs="Arial"/>
        </w:rPr>
        <w:t xml:space="preserve"> % des variations de l’activité totale d’amélioration-entretien sont expliquées par le </w:t>
      </w:r>
      <w:r>
        <w:rPr>
          <w:rFonts w:ascii="Arial" w:hAnsi="Arial" w:cs="Arial"/>
        </w:rPr>
        <w:t>modèle (cf. graphique A.3</w:t>
      </w:r>
      <w:r w:rsidRPr="000D0A54">
        <w:rPr>
          <w:rFonts w:ascii="Arial" w:hAnsi="Arial" w:cs="Arial"/>
        </w:rPr>
        <w:t>).</w:t>
      </w:r>
    </w:p>
    <w:p w14:paraId="3737D55E" w14:textId="77777777" w:rsidR="00E11534" w:rsidRPr="000D0A54" w:rsidRDefault="00E11534" w:rsidP="00E11534">
      <w:pPr>
        <w:spacing w:after="0" w:line="360" w:lineRule="auto"/>
        <w:jc w:val="center"/>
        <w:rPr>
          <w:rFonts w:ascii="Arial" w:hAnsi="Arial" w:cs="Arial"/>
          <w:b/>
        </w:rPr>
      </w:pPr>
      <w:r w:rsidRPr="000D0A54">
        <w:rPr>
          <w:rFonts w:ascii="Arial" w:hAnsi="Arial" w:cs="Arial"/>
        </w:rPr>
        <w:br w:type="page"/>
      </w:r>
      <w:r>
        <w:rPr>
          <w:rFonts w:ascii="Arial" w:hAnsi="Arial" w:cs="Arial"/>
        </w:rPr>
        <w:lastRenderedPageBreak/>
        <w:t>Graphique A.3</w:t>
      </w:r>
      <w:r w:rsidRPr="000D0A54">
        <w:rPr>
          <w:rFonts w:ascii="Arial" w:hAnsi="Arial" w:cs="Arial"/>
        </w:rPr>
        <w:t xml:space="preserve"> – </w:t>
      </w:r>
      <w:r w:rsidRPr="000D0A54">
        <w:rPr>
          <w:rFonts w:ascii="Arial" w:hAnsi="Arial" w:cs="Arial"/>
          <w:b/>
        </w:rPr>
        <w:t xml:space="preserve">Indice d’activité en amélioration-entretien </w:t>
      </w:r>
      <w:r w:rsidRPr="000D0A54">
        <w:rPr>
          <w:rFonts w:ascii="Arial" w:hAnsi="Arial" w:cs="Arial"/>
        </w:rPr>
        <w:t>(en volume)</w:t>
      </w:r>
    </w:p>
    <w:p w14:paraId="74014658" w14:textId="77777777" w:rsidR="00E11534" w:rsidRPr="000D0A54" w:rsidRDefault="00E11534" w:rsidP="00E11534">
      <w:pPr>
        <w:spacing w:after="0" w:line="360" w:lineRule="auto"/>
        <w:jc w:val="center"/>
        <w:rPr>
          <w:rFonts w:ascii="Arial" w:hAnsi="Arial" w:cs="Arial"/>
          <w:u w:val="single"/>
        </w:rPr>
      </w:pPr>
      <w:r w:rsidRPr="005B202B">
        <w:rPr>
          <w:noProof/>
          <w:lang w:eastAsia="fr-FR"/>
        </w:rPr>
        <w:drawing>
          <wp:inline distT="0" distB="0" distL="0" distR="0" wp14:anchorId="78E65836" wp14:editId="37D2FC44">
            <wp:extent cx="5698800" cy="32760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8800" cy="3276000"/>
                    </a:xfrm>
                    <a:prstGeom prst="rect">
                      <a:avLst/>
                    </a:prstGeom>
                    <a:noFill/>
                    <a:ln>
                      <a:noFill/>
                    </a:ln>
                  </pic:spPr>
                </pic:pic>
              </a:graphicData>
            </a:graphic>
          </wp:inline>
        </w:drawing>
      </w:r>
    </w:p>
    <w:p w14:paraId="6FF49DF2" w14:textId="77777777" w:rsidR="00E11534" w:rsidRPr="000D0A54" w:rsidRDefault="00E11534" w:rsidP="00E11534">
      <w:pPr>
        <w:spacing w:after="0" w:line="360" w:lineRule="auto"/>
        <w:jc w:val="center"/>
        <w:rPr>
          <w:rFonts w:ascii="Arial" w:hAnsi="Arial" w:cs="Arial"/>
          <w:i/>
          <w:sz w:val="20"/>
          <w:szCs w:val="20"/>
        </w:rPr>
      </w:pPr>
      <w:r w:rsidRPr="000D0A54">
        <w:rPr>
          <w:rFonts w:ascii="Arial" w:hAnsi="Arial" w:cs="Arial"/>
          <w:i/>
          <w:sz w:val="20"/>
          <w:szCs w:val="20"/>
        </w:rPr>
        <w:t>Source : FFB, à partir de CAH, Baromètre de l’amélioration-entretien ; Insee, soldes d’opinion et IPEA ; FFB/Réseau des CERC</w:t>
      </w:r>
    </w:p>
    <w:p w14:paraId="165C300C" w14:textId="77777777" w:rsidR="00E11534" w:rsidRPr="000D0A54" w:rsidRDefault="00E11534" w:rsidP="00E11534">
      <w:pPr>
        <w:spacing w:after="0" w:line="360" w:lineRule="auto"/>
        <w:jc w:val="both"/>
        <w:rPr>
          <w:rFonts w:ascii="Arial" w:hAnsi="Arial" w:cs="Arial"/>
        </w:rPr>
      </w:pPr>
    </w:p>
    <w:p w14:paraId="69ABFBD2" w14:textId="77777777" w:rsidR="00E11534" w:rsidRPr="000D0A54" w:rsidRDefault="00E11534" w:rsidP="00E11534">
      <w:pPr>
        <w:spacing w:after="0" w:line="360" w:lineRule="auto"/>
        <w:jc w:val="both"/>
        <w:rPr>
          <w:rFonts w:ascii="Arial" w:hAnsi="Arial" w:cs="Arial"/>
          <w:i/>
        </w:rPr>
      </w:pPr>
      <w:r w:rsidRPr="000D0A54">
        <w:rPr>
          <w:rFonts w:ascii="Arial" w:hAnsi="Arial" w:cs="Arial"/>
          <w:i/>
        </w:rPr>
        <w:t>Prévisions intra-échantillon</w:t>
      </w:r>
    </w:p>
    <w:p w14:paraId="05E8A1BA" w14:textId="77777777" w:rsidR="00E11534" w:rsidRPr="000D0A54" w:rsidRDefault="00E11534" w:rsidP="00E11534">
      <w:pPr>
        <w:spacing w:after="0" w:line="360" w:lineRule="auto"/>
        <w:jc w:val="both"/>
        <w:rPr>
          <w:rFonts w:ascii="Arial" w:hAnsi="Arial" w:cs="Arial"/>
        </w:rPr>
      </w:pPr>
    </w:p>
    <w:p w14:paraId="48910867" w14:textId="6B71DF31" w:rsidR="00E11534" w:rsidRPr="000D0A54" w:rsidRDefault="00E11534" w:rsidP="00E11534">
      <w:pPr>
        <w:spacing w:after="0" w:line="360" w:lineRule="auto"/>
        <w:jc w:val="both"/>
        <w:rPr>
          <w:rFonts w:ascii="Arial" w:hAnsi="Arial" w:cs="Arial"/>
        </w:rPr>
      </w:pPr>
      <w:r w:rsidRPr="000D0A54">
        <w:rPr>
          <w:rFonts w:ascii="Arial" w:hAnsi="Arial" w:cs="Arial"/>
        </w:rPr>
        <w:t xml:space="preserve">Pour mémoire, sauf choc exogène (tempête, choc de TVA, etc.), le marché de l’amélioration-entretien connaît des fluctuations annuelles relativement faibles, entre </w:t>
      </w:r>
      <w:r w:rsidRPr="000D0A54">
        <w:rPr>
          <w:rFonts w:ascii="Arial" w:hAnsi="Arial" w:cs="Arial"/>
        </w:rPr>
        <w:noBreakHyphen/>
        <w:t xml:space="preserve">3 % et +3 %, en volume. Par conséquent, l’erreur de prévision tolérée doit être bien plus faible que celles retenues </w:t>
      </w:r>
      <w:r w:rsidR="00D32257">
        <w:rPr>
          <w:rFonts w:ascii="Arial" w:hAnsi="Arial" w:cs="Arial"/>
        </w:rPr>
        <w:t>pour</w:t>
      </w:r>
      <w:r w:rsidR="00D32257" w:rsidRPr="000D0A54">
        <w:rPr>
          <w:rFonts w:ascii="Arial" w:hAnsi="Arial" w:cs="Arial"/>
        </w:rPr>
        <w:t xml:space="preserve"> </w:t>
      </w:r>
      <w:r w:rsidRPr="000D0A54">
        <w:rPr>
          <w:rFonts w:ascii="Arial" w:hAnsi="Arial" w:cs="Arial"/>
        </w:rPr>
        <w:t>les marchés du neuf.</w:t>
      </w:r>
    </w:p>
    <w:p w14:paraId="7EFC3B38" w14:textId="734BF014" w:rsidR="00E11534" w:rsidRPr="000D0A54" w:rsidRDefault="00E11534" w:rsidP="00E11534">
      <w:pPr>
        <w:spacing w:after="0" w:line="360" w:lineRule="auto"/>
        <w:jc w:val="both"/>
        <w:rPr>
          <w:rFonts w:ascii="Arial" w:hAnsi="Arial" w:cs="Arial"/>
        </w:rPr>
      </w:pPr>
      <w:r w:rsidRPr="000D0A54">
        <w:rPr>
          <w:rFonts w:ascii="Arial" w:hAnsi="Arial" w:cs="Arial"/>
        </w:rPr>
        <w:t xml:space="preserve">Les </w:t>
      </w:r>
      <w:r w:rsidR="00D32257">
        <w:rPr>
          <w:rFonts w:ascii="Arial" w:hAnsi="Arial" w:cs="Arial"/>
        </w:rPr>
        <w:t xml:space="preserve">évolutions sur les </w:t>
      </w:r>
      <w:r w:rsidRPr="000D0A54">
        <w:rPr>
          <w:rFonts w:ascii="Arial" w:hAnsi="Arial" w:cs="Arial"/>
        </w:rPr>
        <w:t>années 201</w:t>
      </w:r>
      <w:r>
        <w:rPr>
          <w:rFonts w:ascii="Arial" w:hAnsi="Arial" w:cs="Arial"/>
        </w:rPr>
        <w:t>6</w:t>
      </w:r>
      <w:r w:rsidRPr="000D0A54">
        <w:rPr>
          <w:rFonts w:ascii="Arial" w:hAnsi="Arial" w:cs="Arial"/>
        </w:rPr>
        <w:t xml:space="preserve"> à 201</w:t>
      </w:r>
      <w:r>
        <w:rPr>
          <w:rFonts w:ascii="Arial" w:hAnsi="Arial" w:cs="Arial"/>
        </w:rPr>
        <w:t>8</w:t>
      </w:r>
      <w:r w:rsidRPr="000D0A54">
        <w:rPr>
          <w:rFonts w:ascii="Arial" w:hAnsi="Arial" w:cs="Arial"/>
        </w:rPr>
        <w:t xml:space="preserve"> </w:t>
      </w:r>
      <w:r w:rsidR="00D32257">
        <w:rPr>
          <w:rFonts w:ascii="Arial" w:hAnsi="Arial" w:cs="Arial"/>
        </w:rPr>
        <w:t>ressortent très bien</w:t>
      </w:r>
      <w:r w:rsidRPr="000D0A54">
        <w:rPr>
          <w:rFonts w:ascii="Arial" w:hAnsi="Arial" w:cs="Arial"/>
        </w:rPr>
        <w:t xml:space="preserve"> estimées</w:t>
      </w:r>
      <w:r w:rsidR="00D32257">
        <w:rPr>
          <w:rFonts w:ascii="Arial" w:hAnsi="Arial" w:cs="Arial"/>
        </w:rPr>
        <w:t xml:space="preserve"> par modèle</w:t>
      </w:r>
      <w:r>
        <w:rPr>
          <w:rFonts w:ascii="Arial" w:hAnsi="Arial" w:cs="Arial"/>
        </w:rPr>
        <w:t xml:space="preserve">, bien que légèrement plus optimistes que </w:t>
      </w:r>
      <w:r w:rsidR="00D32257">
        <w:rPr>
          <w:rFonts w:ascii="Arial" w:hAnsi="Arial" w:cs="Arial"/>
        </w:rPr>
        <w:t>le réel</w:t>
      </w:r>
      <w:r>
        <w:rPr>
          <w:rFonts w:ascii="Arial" w:hAnsi="Arial" w:cs="Arial"/>
        </w:rPr>
        <w:t xml:space="preserve"> (cf. tableau A.6</w:t>
      </w:r>
      <w:r w:rsidRPr="000D0A54">
        <w:rPr>
          <w:rFonts w:ascii="Arial" w:hAnsi="Arial" w:cs="Arial"/>
        </w:rPr>
        <w:t>).</w:t>
      </w:r>
    </w:p>
    <w:p w14:paraId="2D78D173" w14:textId="77777777" w:rsidR="00E11534" w:rsidRPr="000D0A54" w:rsidRDefault="00E11534" w:rsidP="00E11534">
      <w:pPr>
        <w:spacing w:after="0" w:line="360" w:lineRule="auto"/>
        <w:rPr>
          <w:rFonts w:ascii="Arial" w:hAnsi="Arial" w:cs="Arial"/>
        </w:rPr>
      </w:pPr>
    </w:p>
    <w:p w14:paraId="0F07F73B" w14:textId="77777777" w:rsidR="00E11534" w:rsidRPr="000D0A54" w:rsidRDefault="00E11534" w:rsidP="00E11534">
      <w:pPr>
        <w:spacing w:after="0" w:line="360" w:lineRule="auto"/>
        <w:jc w:val="center"/>
        <w:rPr>
          <w:rFonts w:ascii="Arial" w:hAnsi="Arial" w:cs="Arial"/>
          <w:b/>
        </w:rPr>
      </w:pPr>
      <w:r>
        <w:rPr>
          <w:rFonts w:ascii="Arial" w:hAnsi="Arial" w:cs="Arial"/>
        </w:rPr>
        <w:t>Tableau A.6</w:t>
      </w:r>
      <w:r w:rsidRPr="000D0A54">
        <w:rPr>
          <w:rFonts w:ascii="Arial" w:hAnsi="Arial" w:cs="Arial"/>
        </w:rPr>
        <w:t xml:space="preserve"> – </w:t>
      </w:r>
      <w:r w:rsidRPr="000D0A54">
        <w:rPr>
          <w:rFonts w:ascii="Arial" w:hAnsi="Arial" w:cs="Arial"/>
          <w:b/>
        </w:rPr>
        <w:t>Prévisions intra-échantillon de l’activité en amélioration-entretien</w:t>
      </w:r>
    </w:p>
    <w:p w14:paraId="3FA44CBA" w14:textId="77777777" w:rsidR="00E11534" w:rsidRPr="005031CD" w:rsidRDefault="00E11534" w:rsidP="00E11534">
      <w:pPr>
        <w:spacing w:after="0" w:line="360" w:lineRule="auto"/>
        <w:jc w:val="center"/>
        <w:rPr>
          <w:rFonts w:ascii="Arial" w:hAnsi="Arial" w:cs="Arial"/>
        </w:rPr>
      </w:pPr>
      <w:r w:rsidRPr="000C13EE">
        <w:rPr>
          <w:noProof/>
          <w:lang w:eastAsia="fr-FR"/>
        </w:rPr>
        <w:drawing>
          <wp:inline distT="0" distB="0" distL="0" distR="0" wp14:anchorId="34247EDE" wp14:editId="7723CD08">
            <wp:extent cx="2752725" cy="9334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933450"/>
                    </a:xfrm>
                    <a:prstGeom prst="rect">
                      <a:avLst/>
                    </a:prstGeom>
                    <a:noFill/>
                    <a:ln>
                      <a:noFill/>
                    </a:ln>
                  </pic:spPr>
                </pic:pic>
              </a:graphicData>
            </a:graphic>
          </wp:inline>
        </w:drawing>
      </w:r>
    </w:p>
    <w:p w14:paraId="1D20618D" w14:textId="77777777" w:rsidR="00E11534" w:rsidRPr="005031CD" w:rsidRDefault="00E11534" w:rsidP="00E11534">
      <w:pPr>
        <w:spacing w:after="0" w:line="360" w:lineRule="auto"/>
        <w:jc w:val="both"/>
        <w:rPr>
          <w:rFonts w:ascii="Arial" w:hAnsi="Arial" w:cs="Arial"/>
        </w:rPr>
      </w:pPr>
    </w:p>
    <w:p w14:paraId="7E4B19DD" w14:textId="77777777" w:rsidR="00E11534" w:rsidRDefault="00E11534" w:rsidP="00E11534"/>
    <w:p w14:paraId="1BD46E91" w14:textId="3474F3AE" w:rsidR="000D0A54" w:rsidRDefault="000D0A54" w:rsidP="00D075AB">
      <w:pPr>
        <w:spacing w:after="0" w:line="360" w:lineRule="auto"/>
        <w:jc w:val="center"/>
      </w:pPr>
    </w:p>
    <w:sectPr w:rsidR="000D0A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F900E" w14:textId="77777777" w:rsidR="007C431C" w:rsidRDefault="007C431C" w:rsidP="005C55E7">
      <w:pPr>
        <w:spacing w:after="0" w:line="240" w:lineRule="auto"/>
      </w:pPr>
      <w:r>
        <w:separator/>
      </w:r>
    </w:p>
  </w:endnote>
  <w:endnote w:type="continuationSeparator" w:id="0">
    <w:p w14:paraId="6E785A3A" w14:textId="77777777" w:rsidR="007C431C" w:rsidRDefault="007C431C" w:rsidP="005C55E7">
      <w:pPr>
        <w:spacing w:after="0" w:line="240" w:lineRule="auto"/>
      </w:pPr>
      <w:r>
        <w:continuationSeparator/>
      </w:r>
    </w:p>
  </w:endnote>
  <w:endnote w:type="continuationNotice" w:id="1">
    <w:p w14:paraId="6466663F" w14:textId="77777777" w:rsidR="007C431C" w:rsidRDefault="007C4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751464"/>
      <w:docPartObj>
        <w:docPartGallery w:val="Page Numbers (Bottom of Page)"/>
        <w:docPartUnique/>
      </w:docPartObj>
    </w:sdtPr>
    <w:sdtEndPr/>
    <w:sdtContent>
      <w:p w14:paraId="4A155BC9" w14:textId="5339499C" w:rsidR="00D3373C" w:rsidRDefault="00D3373C">
        <w:pPr>
          <w:pStyle w:val="Pieddepage"/>
          <w:jc w:val="center"/>
        </w:pPr>
        <w:r>
          <w:fldChar w:fldCharType="begin"/>
        </w:r>
        <w:r>
          <w:instrText>PAGE   \* MERGEFORMAT</w:instrText>
        </w:r>
        <w:r>
          <w:fldChar w:fldCharType="separate"/>
        </w:r>
        <w:r w:rsidR="00384508">
          <w:rPr>
            <w:noProof/>
          </w:rPr>
          <w:t>2</w:t>
        </w:r>
        <w:r>
          <w:fldChar w:fldCharType="end"/>
        </w:r>
      </w:p>
    </w:sdtContent>
  </w:sdt>
  <w:p w14:paraId="306F0C5B" w14:textId="77777777" w:rsidR="00D3373C" w:rsidRDefault="00D337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FB2EC" w14:textId="77777777" w:rsidR="007C431C" w:rsidRDefault="007C431C" w:rsidP="005C55E7">
      <w:pPr>
        <w:spacing w:after="0" w:line="240" w:lineRule="auto"/>
      </w:pPr>
      <w:r>
        <w:separator/>
      </w:r>
    </w:p>
  </w:footnote>
  <w:footnote w:type="continuationSeparator" w:id="0">
    <w:p w14:paraId="3905AEE8" w14:textId="77777777" w:rsidR="007C431C" w:rsidRDefault="007C431C" w:rsidP="005C55E7">
      <w:pPr>
        <w:spacing w:after="0" w:line="240" w:lineRule="auto"/>
      </w:pPr>
      <w:r>
        <w:continuationSeparator/>
      </w:r>
    </w:p>
  </w:footnote>
  <w:footnote w:type="continuationNotice" w:id="1">
    <w:p w14:paraId="5384548A" w14:textId="77777777" w:rsidR="007C431C" w:rsidRDefault="007C431C">
      <w:pPr>
        <w:spacing w:after="0" w:line="240" w:lineRule="auto"/>
      </w:pPr>
    </w:p>
  </w:footnote>
  <w:footnote w:id="2">
    <w:p w14:paraId="12650B35" w14:textId="77777777" w:rsidR="00D3373C" w:rsidRPr="00A94C63" w:rsidRDefault="00D3373C" w:rsidP="00D075AB">
      <w:pPr>
        <w:pStyle w:val="Notedebasdepage"/>
        <w:jc w:val="both"/>
        <w:rPr>
          <w:rFonts w:ascii="Arial" w:hAnsi="Arial" w:cs="Arial"/>
        </w:rPr>
      </w:pPr>
      <w:r w:rsidRPr="00A94C63">
        <w:rPr>
          <w:rStyle w:val="Appelnotedebasdep"/>
          <w:rFonts w:ascii="Arial" w:hAnsi="Arial" w:cs="Arial"/>
        </w:rPr>
        <w:footnoteRef/>
      </w:r>
      <w:r w:rsidRPr="00A94C63">
        <w:rPr>
          <w:rFonts w:ascii="Arial" w:hAnsi="Arial" w:cs="Arial"/>
        </w:rPr>
        <w:t xml:space="preserve"> Dossier « Quel lien entre pouvoir d’achat et consommation des ménages en France aujourd’hui ? », p. 19-37.</w:t>
      </w:r>
    </w:p>
  </w:footnote>
  <w:footnote w:id="3">
    <w:p w14:paraId="496BA0F5" w14:textId="77777777" w:rsidR="00D3373C" w:rsidRPr="00A94C63" w:rsidRDefault="00D3373C" w:rsidP="00D075AB">
      <w:pPr>
        <w:pStyle w:val="Notedebasdepage"/>
        <w:jc w:val="both"/>
        <w:rPr>
          <w:rFonts w:ascii="Arial" w:hAnsi="Arial" w:cs="Arial"/>
        </w:rPr>
      </w:pPr>
      <w:r w:rsidRPr="00A94C63">
        <w:rPr>
          <w:rStyle w:val="Appelnotedebasdep"/>
          <w:rFonts w:ascii="Arial" w:hAnsi="Arial" w:cs="Arial"/>
        </w:rPr>
        <w:footnoteRef/>
      </w:r>
      <w:r w:rsidRPr="00A94C63">
        <w:rPr>
          <w:rFonts w:ascii="Arial" w:hAnsi="Arial" w:cs="Arial"/>
        </w:rPr>
        <w:t xml:space="preserve"> Articles d’habillement et chaussures ; meubles, articles de ménage et entretien courant de l’habitation ; loisirs et culture hors services de télévision ; hôtels, cafés et restaurants hors cantines ; boissons alcoolisées et tabac ; biens et services divers hors assurances et services financiers ; communications hors services de télécommunications.</w:t>
      </w:r>
    </w:p>
  </w:footnote>
  <w:footnote w:id="4">
    <w:p w14:paraId="337DA990" w14:textId="77777777" w:rsidR="00D3373C" w:rsidRPr="00CA4D82" w:rsidRDefault="00D3373C" w:rsidP="00E11534">
      <w:pPr>
        <w:pStyle w:val="Notedebasdepage"/>
        <w:rPr>
          <w:rFonts w:ascii="Arial" w:hAnsi="Arial" w:cs="Arial"/>
        </w:rPr>
      </w:pPr>
      <w:r w:rsidRPr="00CA4D82">
        <w:rPr>
          <w:rStyle w:val="Appelnotedebasdep"/>
          <w:rFonts w:ascii="Arial" w:hAnsi="Arial" w:cs="Arial"/>
        </w:rPr>
        <w:footnoteRef/>
      </w:r>
      <w:r w:rsidRPr="00CA4D82">
        <w:rPr>
          <w:rFonts w:ascii="Arial" w:hAnsi="Arial" w:cs="Arial"/>
        </w:rPr>
        <w:t xml:space="preserve"> En date de prise en compte.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9CCB" w14:textId="77777777" w:rsidR="00D3373C" w:rsidRDefault="00D3373C" w:rsidP="00583064">
    <w:pPr>
      <w:pStyle w:val="En-tte"/>
    </w:pPr>
    <w:r w:rsidRPr="002C4EBD">
      <w:rPr>
        <w:rFonts w:cs="Arial"/>
        <w:noProof/>
        <w:lang w:eastAsia="fr-FR"/>
      </w:rPr>
      <w:drawing>
        <wp:inline distT="0" distB="0" distL="0" distR="0" wp14:anchorId="69BB0D88" wp14:editId="480308ED">
          <wp:extent cx="2333625" cy="981075"/>
          <wp:effectExtent l="0" t="0" r="9525" b="9525"/>
          <wp:docPr id="8" name="Image 8" descr="logo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ff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a:ln>
                    <a:noFill/>
                  </a:ln>
                </pic:spPr>
              </pic:pic>
            </a:graphicData>
          </a:graphic>
        </wp:inline>
      </w:drawing>
    </w:r>
    <w:r>
      <w:t xml:space="preserve">                                                       </w:t>
    </w:r>
    <w:r w:rsidRPr="00EF01E5">
      <w:rPr>
        <w:rFonts w:ascii="Arial" w:eastAsia="Times New Roman" w:hAnsi="Arial" w:cs="Arial"/>
        <w:lang w:eastAsia="fr-FR"/>
      </w:rPr>
      <w:t xml:space="preserve">Paris, </w:t>
    </w:r>
    <w:r>
      <w:rPr>
        <w:rFonts w:ascii="Arial" w:eastAsia="Times New Roman" w:hAnsi="Arial" w:cs="Arial"/>
        <w:lang w:eastAsia="fr-FR"/>
      </w:rPr>
      <w:t xml:space="preserve">12 </w:t>
    </w:r>
    <w:r w:rsidRPr="00EF01E5">
      <w:rPr>
        <w:rFonts w:ascii="Arial" w:eastAsia="Times New Roman" w:hAnsi="Arial" w:cs="Arial"/>
        <w:lang w:eastAsia="fr-FR"/>
      </w:rPr>
      <w:t>décembre 201</w:t>
    </w:r>
    <w:r>
      <w:rPr>
        <w:rFonts w:ascii="Arial" w:eastAsia="Times New Roman" w:hAnsi="Arial" w:cs="Arial"/>
        <w:lang w:eastAsia="fr-FR"/>
      </w:rPr>
      <w:t>9</w:t>
    </w:r>
  </w:p>
  <w:p w14:paraId="32B9DAC0" w14:textId="77777777" w:rsidR="00D3373C" w:rsidRDefault="00D3373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C0233" w14:textId="77777777" w:rsidR="00D3373C" w:rsidRDefault="00D3373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E0A"/>
    <w:multiLevelType w:val="hybridMultilevel"/>
    <w:tmpl w:val="69D6BEE0"/>
    <w:lvl w:ilvl="0" w:tplc="E51A98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7B34E0"/>
    <w:multiLevelType w:val="hybridMultilevel"/>
    <w:tmpl w:val="627EE82A"/>
    <w:lvl w:ilvl="0" w:tplc="057EF9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D352B2"/>
    <w:multiLevelType w:val="hybridMultilevel"/>
    <w:tmpl w:val="6F8E27C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691EDF"/>
    <w:multiLevelType w:val="hybridMultilevel"/>
    <w:tmpl w:val="1F94EF1A"/>
    <w:lvl w:ilvl="0" w:tplc="4400241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nsid w:val="0ADB3055"/>
    <w:multiLevelType w:val="hybridMultilevel"/>
    <w:tmpl w:val="68888942"/>
    <w:lvl w:ilvl="0" w:tplc="91029FD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853C8E"/>
    <w:multiLevelType w:val="hybridMultilevel"/>
    <w:tmpl w:val="C7DE054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7A3216"/>
    <w:multiLevelType w:val="hybridMultilevel"/>
    <w:tmpl w:val="93CC9CE8"/>
    <w:lvl w:ilvl="0" w:tplc="CB0055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7F21C0"/>
    <w:multiLevelType w:val="hybridMultilevel"/>
    <w:tmpl w:val="ECD2C416"/>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096C63"/>
    <w:multiLevelType w:val="hybridMultilevel"/>
    <w:tmpl w:val="2BC4670C"/>
    <w:lvl w:ilvl="0" w:tplc="956AA6A8">
      <w:start w:val="1"/>
      <w:numFmt w:val="upperRoman"/>
      <w:lvlText w:val="%1."/>
      <w:lvlJc w:val="righ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4048B1"/>
    <w:multiLevelType w:val="hybridMultilevel"/>
    <w:tmpl w:val="850ED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0C416D"/>
    <w:multiLevelType w:val="hybridMultilevel"/>
    <w:tmpl w:val="2CB8FD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B4333A"/>
    <w:multiLevelType w:val="hybridMultilevel"/>
    <w:tmpl w:val="F1086FC6"/>
    <w:lvl w:ilvl="0" w:tplc="72F6E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8E14C07"/>
    <w:multiLevelType w:val="hybridMultilevel"/>
    <w:tmpl w:val="B010D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6E7DEB"/>
    <w:multiLevelType w:val="hybridMultilevel"/>
    <w:tmpl w:val="DB7A796C"/>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4C717F"/>
    <w:multiLevelType w:val="hybridMultilevel"/>
    <w:tmpl w:val="95AED9BC"/>
    <w:lvl w:ilvl="0" w:tplc="C12E89C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EA0307"/>
    <w:multiLevelType w:val="hybridMultilevel"/>
    <w:tmpl w:val="5A780352"/>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0251B6"/>
    <w:multiLevelType w:val="hybridMultilevel"/>
    <w:tmpl w:val="D084EE26"/>
    <w:lvl w:ilvl="0" w:tplc="DB88B17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474376"/>
    <w:multiLevelType w:val="hybridMultilevel"/>
    <w:tmpl w:val="AF7A51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E713F0"/>
    <w:multiLevelType w:val="hybridMultilevel"/>
    <w:tmpl w:val="0874CD56"/>
    <w:lvl w:ilvl="0" w:tplc="0FE647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125666"/>
    <w:multiLevelType w:val="hybridMultilevel"/>
    <w:tmpl w:val="F5C41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0C610F"/>
    <w:multiLevelType w:val="hybridMultilevel"/>
    <w:tmpl w:val="7EA60440"/>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92F2634"/>
    <w:multiLevelType w:val="hybridMultilevel"/>
    <w:tmpl w:val="AD0A042A"/>
    <w:lvl w:ilvl="0" w:tplc="057EF9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7E4235"/>
    <w:multiLevelType w:val="hybridMultilevel"/>
    <w:tmpl w:val="D206D4C8"/>
    <w:lvl w:ilvl="0" w:tplc="350EE84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0A1456B"/>
    <w:multiLevelType w:val="hybridMultilevel"/>
    <w:tmpl w:val="9FBEAC0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68002135"/>
    <w:multiLevelType w:val="hybridMultilevel"/>
    <w:tmpl w:val="44B422AA"/>
    <w:lvl w:ilvl="0" w:tplc="C5AA95E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944179F"/>
    <w:multiLevelType w:val="hybridMultilevel"/>
    <w:tmpl w:val="CD1667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406A37"/>
    <w:multiLevelType w:val="hybridMultilevel"/>
    <w:tmpl w:val="2188B1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7C1091"/>
    <w:multiLevelType w:val="hybridMultilevel"/>
    <w:tmpl w:val="64BAC2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5D534A"/>
    <w:multiLevelType w:val="hybridMultilevel"/>
    <w:tmpl w:val="B40A95EA"/>
    <w:lvl w:ilvl="0" w:tplc="C5AA95E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042D28"/>
    <w:multiLevelType w:val="hybridMultilevel"/>
    <w:tmpl w:val="C1F42458"/>
    <w:lvl w:ilvl="0" w:tplc="B5D4FC8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543C71"/>
    <w:multiLevelType w:val="hybridMultilevel"/>
    <w:tmpl w:val="E2DA537C"/>
    <w:lvl w:ilvl="0" w:tplc="7CEE3E6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9B2016"/>
    <w:multiLevelType w:val="hybridMultilevel"/>
    <w:tmpl w:val="40B4C4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0225D3"/>
    <w:multiLevelType w:val="hybridMultilevel"/>
    <w:tmpl w:val="A5F8B324"/>
    <w:lvl w:ilvl="0" w:tplc="C5AA95E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6"/>
  </w:num>
  <w:num w:numId="4">
    <w:abstractNumId w:val="8"/>
  </w:num>
  <w:num w:numId="5">
    <w:abstractNumId w:val="25"/>
  </w:num>
  <w:num w:numId="6">
    <w:abstractNumId w:val="23"/>
  </w:num>
  <w:num w:numId="7">
    <w:abstractNumId w:val="26"/>
  </w:num>
  <w:num w:numId="8">
    <w:abstractNumId w:val="27"/>
  </w:num>
  <w:num w:numId="9">
    <w:abstractNumId w:val="0"/>
  </w:num>
  <w:num w:numId="10">
    <w:abstractNumId w:val="2"/>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
  </w:num>
  <w:num w:numId="14">
    <w:abstractNumId w:val="12"/>
  </w:num>
  <w:num w:numId="15">
    <w:abstractNumId w:val="31"/>
  </w:num>
  <w:num w:numId="16">
    <w:abstractNumId w:val="15"/>
  </w:num>
  <w:num w:numId="17">
    <w:abstractNumId w:val="7"/>
  </w:num>
  <w:num w:numId="18">
    <w:abstractNumId w:val="13"/>
  </w:num>
  <w:num w:numId="19">
    <w:abstractNumId w:val="10"/>
  </w:num>
  <w:num w:numId="20">
    <w:abstractNumId w:val="9"/>
  </w:num>
  <w:num w:numId="21">
    <w:abstractNumId w:val="19"/>
  </w:num>
  <w:num w:numId="22">
    <w:abstractNumId w:val="17"/>
  </w:num>
  <w:num w:numId="23">
    <w:abstractNumId w:val="28"/>
  </w:num>
  <w:num w:numId="24">
    <w:abstractNumId w:val="32"/>
  </w:num>
  <w:num w:numId="25">
    <w:abstractNumId w:val="24"/>
  </w:num>
  <w:num w:numId="26">
    <w:abstractNumId w:val="30"/>
  </w:num>
  <w:num w:numId="27">
    <w:abstractNumId w:val="29"/>
  </w:num>
  <w:num w:numId="28">
    <w:abstractNumId w:val="22"/>
  </w:num>
  <w:num w:numId="29">
    <w:abstractNumId w:val="4"/>
  </w:num>
  <w:num w:numId="30">
    <w:abstractNumId w:val="16"/>
  </w:num>
  <w:num w:numId="31">
    <w:abstractNumId w:val="1"/>
  </w:num>
  <w:num w:numId="32">
    <w:abstractNumId w:val="2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F7"/>
    <w:rsid w:val="00004E42"/>
    <w:rsid w:val="00005480"/>
    <w:rsid w:val="0000620B"/>
    <w:rsid w:val="000065EC"/>
    <w:rsid w:val="0000684C"/>
    <w:rsid w:val="00010236"/>
    <w:rsid w:val="00010AED"/>
    <w:rsid w:val="0001170E"/>
    <w:rsid w:val="00011C07"/>
    <w:rsid w:val="0001242F"/>
    <w:rsid w:val="00013290"/>
    <w:rsid w:val="0001397D"/>
    <w:rsid w:val="0001410C"/>
    <w:rsid w:val="00015A86"/>
    <w:rsid w:val="000166B2"/>
    <w:rsid w:val="0002051F"/>
    <w:rsid w:val="00020CFE"/>
    <w:rsid w:val="00021003"/>
    <w:rsid w:val="00021667"/>
    <w:rsid w:val="000342A5"/>
    <w:rsid w:val="000357E6"/>
    <w:rsid w:val="00035961"/>
    <w:rsid w:val="0003648A"/>
    <w:rsid w:val="00040E05"/>
    <w:rsid w:val="000431C3"/>
    <w:rsid w:val="00043F4D"/>
    <w:rsid w:val="000442FC"/>
    <w:rsid w:val="00044E72"/>
    <w:rsid w:val="00046AAB"/>
    <w:rsid w:val="000473F8"/>
    <w:rsid w:val="00047CF9"/>
    <w:rsid w:val="00047FED"/>
    <w:rsid w:val="000510AA"/>
    <w:rsid w:val="00060A8F"/>
    <w:rsid w:val="00061FE7"/>
    <w:rsid w:val="000640F0"/>
    <w:rsid w:val="00065C34"/>
    <w:rsid w:val="00070166"/>
    <w:rsid w:val="000750D5"/>
    <w:rsid w:val="00075CB1"/>
    <w:rsid w:val="00077454"/>
    <w:rsid w:val="00087980"/>
    <w:rsid w:val="00087FF5"/>
    <w:rsid w:val="000931A1"/>
    <w:rsid w:val="00093269"/>
    <w:rsid w:val="0009351D"/>
    <w:rsid w:val="00096DBE"/>
    <w:rsid w:val="000A1371"/>
    <w:rsid w:val="000A29BA"/>
    <w:rsid w:val="000A77E7"/>
    <w:rsid w:val="000B03F3"/>
    <w:rsid w:val="000B7D88"/>
    <w:rsid w:val="000C0564"/>
    <w:rsid w:val="000C318E"/>
    <w:rsid w:val="000C5EBE"/>
    <w:rsid w:val="000C6FCA"/>
    <w:rsid w:val="000C7B76"/>
    <w:rsid w:val="000D0A54"/>
    <w:rsid w:val="000D14D2"/>
    <w:rsid w:val="000D3C10"/>
    <w:rsid w:val="000D4D2C"/>
    <w:rsid w:val="000D6A96"/>
    <w:rsid w:val="000E1797"/>
    <w:rsid w:val="000E2CE8"/>
    <w:rsid w:val="000E30D9"/>
    <w:rsid w:val="000E349C"/>
    <w:rsid w:val="000E4FD0"/>
    <w:rsid w:val="000F1D15"/>
    <w:rsid w:val="000F1F2B"/>
    <w:rsid w:val="000F4528"/>
    <w:rsid w:val="000F6046"/>
    <w:rsid w:val="00100498"/>
    <w:rsid w:val="00106305"/>
    <w:rsid w:val="00107439"/>
    <w:rsid w:val="00110B17"/>
    <w:rsid w:val="001123A8"/>
    <w:rsid w:val="00113FA1"/>
    <w:rsid w:val="00113FE7"/>
    <w:rsid w:val="00114594"/>
    <w:rsid w:val="00116F80"/>
    <w:rsid w:val="001201CD"/>
    <w:rsid w:val="001246E8"/>
    <w:rsid w:val="00131C57"/>
    <w:rsid w:val="001328CF"/>
    <w:rsid w:val="0013358C"/>
    <w:rsid w:val="001356AB"/>
    <w:rsid w:val="00136417"/>
    <w:rsid w:val="00137019"/>
    <w:rsid w:val="0015211D"/>
    <w:rsid w:val="0015217C"/>
    <w:rsid w:val="001522C8"/>
    <w:rsid w:val="0015271B"/>
    <w:rsid w:val="00152F1E"/>
    <w:rsid w:val="00152F2E"/>
    <w:rsid w:val="00153949"/>
    <w:rsid w:val="00164581"/>
    <w:rsid w:val="00165D79"/>
    <w:rsid w:val="00170B3C"/>
    <w:rsid w:val="00171317"/>
    <w:rsid w:val="0017210A"/>
    <w:rsid w:val="0018024D"/>
    <w:rsid w:val="001837D3"/>
    <w:rsid w:val="0019072D"/>
    <w:rsid w:val="00192720"/>
    <w:rsid w:val="00197D97"/>
    <w:rsid w:val="001A637B"/>
    <w:rsid w:val="001A7EFD"/>
    <w:rsid w:val="001B2F11"/>
    <w:rsid w:val="001C05A3"/>
    <w:rsid w:val="001C2CDB"/>
    <w:rsid w:val="001C343E"/>
    <w:rsid w:val="001C40CE"/>
    <w:rsid w:val="001C555B"/>
    <w:rsid w:val="001D1D76"/>
    <w:rsid w:val="001D26DE"/>
    <w:rsid w:val="001D2A8D"/>
    <w:rsid w:val="001D66F5"/>
    <w:rsid w:val="001D7B74"/>
    <w:rsid w:val="001E270B"/>
    <w:rsid w:val="001E2F7B"/>
    <w:rsid w:val="001E7838"/>
    <w:rsid w:val="001F2198"/>
    <w:rsid w:val="001F2B71"/>
    <w:rsid w:val="001F3337"/>
    <w:rsid w:val="001F4F24"/>
    <w:rsid w:val="001F5207"/>
    <w:rsid w:val="001F5626"/>
    <w:rsid w:val="0020785E"/>
    <w:rsid w:val="00213886"/>
    <w:rsid w:val="00220E23"/>
    <w:rsid w:val="00223712"/>
    <w:rsid w:val="002253AA"/>
    <w:rsid w:val="00225A77"/>
    <w:rsid w:val="00226FFC"/>
    <w:rsid w:val="00234792"/>
    <w:rsid w:val="00237096"/>
    <w:rsid w:val="0024199C"/>
    <w:rsid w:val="00253150"/>
    <w:rsid w:val="00257954"/>
    <w:rsid w:val="00260F7E"/>
    <w:rsid w:val="0026161C"/>
    <w:rsid w:val="00263065"/>
    <w:rsid w:val="00264407"/>
    <w:rsid w:val="00265738"/>
    <w:rsid w:val="00265906"/>
    <w:rsid w:val="00265F30"/>
    <w:rsid w:val="002723AE"/>
    <w:rsid w:val="00272773"/>
    <w:rsid w:val="00274AC9"/>
    <w:rsid w:val="002809F5"/>
    <w:rsid w:val="002828D0"/>
    <w:rsid w:val="00282FDE"/>
    <w:rsid w:val="002913DC"/>
    <w:rsid w:val="00292298"/>
    <w:rsid w:val="002954CC"/>
    <w:rsid w:val="00295A8B"/>
    <w:rsid w:val="002A2697"/>
    <w:rsid w:val="002A2CBD"/>
    <w:rsid w:val="002A4143"/>
    <w:rsid w:val="002A4F10"/>
    <w:rsid w:val="002A5070"/>
    <w:rsid w:val="002A6484"/>
    <w:rsid w:val="002A7AEC"/>
    <w:rsid w:val="002B30B6"/>
    <w:rsid w:val="002B5C57"/>
    <w:rsid w:val="002C14AE"/>
    <w:rsid w:val="002C4EC6"/>
    <w:rsid w:val="002C56B7"/>
    <w:rsid w:val="002C7560"/>
    <w:rsid w:val="002D35B3"/>
    <w:rsid w:val="002D57F1"/>
    <w:rsid w:val="002D616E"/>
    <w:rsid w:val="002D7AB9"/>
    <w:rsid w:val="002E0552"/>
    <w:rsid w:val="002E1882"/>
    <w:rsid w:val="002E267C"/>
    <w:rsid w:val="002E725B"/>
    <w:rsid w:val="002F294E"/>
    <w:rsid w:val="002F6F92"/>
    <w:rsid w:val="002F7A20"/>
    <w:rsid w:val="00300F75"/>
    <w:rsid w:val="00301F91"/>
    <w:rsid w:val="003053D9"/>
    <w:rsid w:val="00310BC5"/>
    <w:rsid w:val="0031124C"/>
    <w:rsid w:val="00311B79"/>
    <w:rsid w:val="00322E80"/>
    <w:rsid w:val="00323FC6"/>
    <w:rsid w:val="00324E87"/>
    <w:rsid w:val="0032693D"/>
    <w:rsid w:val="00330C2D"/>
    <w:rsid w:val="003310D9"/>
    <w:rsid w:val="003400E5"/>
    <w:rsid w:val="003418B1"/>
    <w:rsid w:val="00342178"/>
    <w:rsid w:val="003429F3"/>
    <w:rsid w:val="003531B5"/>
    <w:rsid w:val="00355D64"/>
    <w:rsid w:val="0035669D"/>
    <w:rsid w:val="00360649"/>
    <w:rsid w:val="003631FC"/>
    <w:rsid w:val="00383C78"/>
    <w:rsid w:val="00384508"/>
    <w:rsid w:val="00385184"/>
    <w:rsid w:val="00392771"/>
    <w:rsid w:val="0039340D"/>
    <w:rsid w:val="003948F6"/>
    <w:rsid w:val="00397E56"/>
    <w:rsid w:val="003A0A47"/>
    <w:rsid w:val="003A13F6"/>
    <w:rsid w:val="003A300C"/>
    <w:rsid w:val="003A6A03"/>
    <w:rsid w:val="003B0100"/>
    <w:rsid w:val="003B01EF"/>
    <w:rsid w:val="003B23A0"/>
    <w:rsid w:val="003B2A33"/>
    <w:rsid w:val="003B552C"/>
    <w:rsid w:val="003B7733"/>
    <w:rsid w:val="003C01B2"/>
    <w:rsid w:val="003C0C44"/>
    <w:rsid w:val="003C3361"/>
    <w:rsid w:val="003C3F51"/>
    <w:rsid w:val="003C40E3"/>
    <w:rsid w:val="003C4486"/>
    <w:rsid w:val="003C4E06"/>
    <w:rsid w:val="003D3383"/>
    <w:rsid w:val="003D51B2"/>
    <w:rsid w:val="003E1FC5"/>
    <w:rsid w:val="003E3626"/>
    <w:rsid w:val="003E40FB"/>
    <w:rsid w:val="003E47E1"/>
    <w:rsid w:val="003F4248"/>
    <w:rsid w:val="0040234A"/>
    <w:rsid w:val="00407370"/>
    <w:rsid w:val="00411C0D"/>
    <w:rsid w:val="00411FCF"/>
    <w:rsid w:val="00422BC2"/>
    <w:rsid w:val="004234AE"/>
    <w:rsid w:val="00423B25"/>
    <w:rsid w:val="00430584"/>
    <w:rsid w:val="004308C8"/>
    <w:rsid w:val="00435C11"/>
    <w:rsid w:val="0044072B"/>
    <w:rsid w:val="00440E30"/>
    <w:rsid w:val="0044180E"/>
    <w:rsid w:val="004432C4"/>
    <w:rsid w:val="00444904"/>
    <w:rsid w:val="00446E67"/>
    <w:rsid w:val="00456D1B"/>
    <w:rsid w:val="00461CED"/>
    <w:rsid w:val="00461E2A"/>
    <w:rsid w:val="00463683"/>
    <w:rsid w:val="004636FE"/>
    <w:rsid w:val="004649F3"/>
    <w:rsid w:val="00465EC0"/>
    <w:rsid w:val="0046650A"/>
    <w:rsid w:val="004671F4"/>
    <w:rsid w:val="00470C50"/>
    <w:rsid w:val="00472B4D"/>
    <w:rsid w:val="00474534"/>
    <w:rsid w:val="00476A56"/>
    <w:rsid w:val="00477373"/>
    <w:rsid w:val="004800BC"/>
    <w:rsid w:val="00480312"/>
    <w:rsid w:val="00480BF8"/>
    <w:rsid w:val="00481707"/>
    <w:rsid w:val="00482F88"/>
    <w:rsid w:val="004905BA"/>
    <w:rsid w:val="00491C0E"/>
    <w:rsid w:val="004A0821"/>
    <w:rsid w:val="004A2DAF"/>
    <w:rsid w:val="004A3CF1"/>
    <w:rsid w:val="004A5D9C"/>
    <w:rsid w:val="004B0969"/>
    <w:rsid w:val="004B239E"/>
    <w:rsid w:val="004B3F51"/>
    <w:rsid w:val="004B6C83"/>
    <w:rsid w:val="004C2E36"/>
    <w:rsid w:val="004C4B7F"/>
    <w:rsid w:val="004C4C1D"/>
    <w:rsid w:val="004C6708"/>
    <w:rsid w:val="004D06E5"/>
    <w:rsid w:val="004D1C13"/>
    <w:rsid w:val="004D2AB4"/>
    <w:rsid w:val="004D5305"/>
    <w:rsid w:val="004D607D"/>
    <w:rsid w:val="004E0B02"/>
    <w:rsid w:val="004E76C6"/>
    <w:rsid w:val="004F5F61"/>
    <w:rsid w:val="005024E5"/>
    <w:rsid w:val="0050291D"/>
    <w:rsid w:val="00503FB0"/>
    <w:rsid w:val="0051235D"/>
    <w:rsid w:val="00517A60"/>
    <w:rsid w:val="00521962"/>
    <w:rsid w:val="00522B7D"/>
    <w:rsid w:val="00524BFF"/>
    <w:rsid w:val="00526F48"/>
    <w:rsid w:val="005279BB"/>
    <w:rsid w:val="0053366C"/>
    <w:rsid w:val="00533BF8"/>
    <w:rsid w:val="00535DB5"/>
    <w:rsid w:val="00543F99"/>
    <w:rsid w:val="00544EDE"/>
    <w:rsid w:val="00551221"/>
    <w:rsid w:val="00554686"/>
    <w:rsid w:val="0056060C"/>
    <w:rsid w:val="0056394D"/>
    <w:rsid w:val="00565DEA"/>
    <w:rsid w:val="005721B8"/>
    <w:rsid w:val="0057376A"/>
    <w:rsid w:val="005778DF"/>
    <w:rsid w:val="005815AE"/>
    <w:rsid w:val="00583064"/>
    <w:rsid w:val="005859FF"/>
    <w:rsid w:val="005862EF"/>
    <w:rsid w:val="00586BA6"/>
    <w:rsid w:val="00587C4F"/>
    <w:rsid w:val="00590287"/>
    <w:rsid w:val="0059088F"/>
    <w:rsid w:val="005946E5"/>
    <w:rsid w:val="005A182E"/>
    <w:rsid w:val="005A1BBF"/>
    <w:rsid w:val="005A1DCF"/>
    <w:rsid w:val="005A36B9"/>
    <w:rsid w:val="005B28D8"/>
    <w:rsid w:val="005B7407"/>
    <w:rsid w:val="005B74BF"/>
    <w:rsid w:val="005B7CCA"/>
    <w:rsid w:val="005B7DBF"/>
    <w:rsid w:val="005C0B2D"/>
    <w:rsid w:val="005C55E7"/>
    <w:rsid w:val="005C6EFA"/>
    <w:rsid w:val="005D09CD"/>
    <w:rsid w:val="005D208A"/>
    <w:rsid w:val="005D43C6"/>
    <w:rsid w:val="005D488A"/>
    <w:rsid w:val="005E07B3"/>
    <w:rsid w:val="005E24BC"/>
    <w:rsid w:val="005E48C5"/>
    <w:rsid w:val="005E4E2F"/>
    <w:rsid w:val="005E6409"/>
    <w:rsid w:val="005E6C7C"/>
    <w:rsid w:val="005E7BA6"/>
    <w:rsid w:val="005F08DC"/>
    <w:rsid w:val="005F3312"/>
    <w:rsid w:val="005F6496"/>
    <w:rsid w:val="00601B4F"/>
    <w:rsid w:val="00602317"/>
    <w:rsid w:val="00602F95"/>
    <w:rsid w:val="00604B52"/>
    <w:rsid w:val="00605634"/>
    <w:rsid w:val="00611088"/>
    <w:rsid w:val="00611652"/>
    <w:rsid w:val="006132FE"/>
    <w:rsid w:val="006136E9"/>
    <w:rsid w:val="00614C36"/>
    <w:rsid w:val="00615B78"/>
    <w:rsid w:val="00615E26"/>
    <w:rsid w:val="006162B7"/>
    <w:rsid w:val="00616965"/>
    <w:rsid w:val="00620F33"/>
    <w:rsid w:val="006210B0"/>
    <w:rsid w:val="00621832"/>
    <w:rsid w:val="00621D9A"/>
    <w:rsid w:val="00623852"/>
    <w:rsid w:val="00623A2D"/>
    <w:rsid w:val="00631282"/>
    <w:rsid w:val="00631821"/>
    <w:rsid w:val="00633A4D"/>
    <w:rsid w:val="00642436"/>
    <w:rsid w:val="006505EA"/>
    <w:rsid w:val="00651D68"/>
    <w:rsid w:val="00651FFB"/>
    <w:rsid w:val="006533BC"/>
    <w:rsid w:val="006570A3"/>
    <w:rsid w:val="00660713"/>
    <w:rsid w:val="00660874"/>
    <w:rsid w:val="00660BB7"/>
    <w:rsid w:val="00661785"/>
    <w:rsid w:val="00666706"/>
    <w:rsid w:val="00666E11"/>
    <w:rsid w:val="00670214"/>
    <w:rsid w:val="0067090B"/>
    <w:rsid w:val="00676541"/>
    <w:rsid w:val="00677532"/>
    <w:rsid w:val="00680C83"/>
    <w:rsid w:val="00683EF9"/>
    <w:rsid w:val="0068556B"/>
    <w:rsid w:val="006865B2"/>
    <w:rsid w:val="006869C8"/>
    <w:rsid w:val="00687CB8"/>
    <w:rsid w:val="0069335B"/>
    <w:rsid w:val="00696AC5"/>
    <w:rsid w:val="006A0F0D"/>
    <w:rsid w:val="006A0FB1"/>
    <w:rsid w:val="006A2DDF"/>
    <w:rsid w:val="006A3D5F"/>
    <w:rsid w:val="006A48B3"/>
    <w:rsid w:val="006A4B68"/>
    <w:rsid w:val="006A5754"/>
    <w:rsid w:val="006A5814"/>
    <w:rsid w:val="006A61FD"/>
    <w:rsid w:val="006A67BB"/>
    <w:rsid w:val="006A7F8B"/>
    <w:rsid w:val="006B1DCE"/>
    <w:rsid w:val="006B22C4"/>
    <w:rsid w:val="006B3160"/>
    <w:rsid w:val="006B348A"/>
    <w:rsid w:val="006B5A4C"/>
    <w:rsid w:val="006B702D"/>
    <w:rsid w:val="006B7DA4"/>
    <w:rsid w:val="006C0DCC"/>
    <w:rsid w:val="006C279C"/>
    <w:rsid w:val="006C3B90"/>
    <w:rsid w:val="006D0091"/>
    <w:rsid w:val="006D1D55"/>
    <w:rsid w:val="006D32B2"/>
    <w:rsid w:val="006D5F2D"/>
    <w:rsid w:val="006E0E83"/>
    <w:rsid w:val="006E477F"/>
    <w:rsid w:val="006E544E"/>
    <w:rsid w:val="006E6752"/>
    <w:rsid w:val="006F05F0"/>
    <w:rsid w:val="006F1960"/>
    <w:rsid w:val="006F1DB4"/>
    <w:rsid w:val="006F1E78"/>
    <w:rsid w:val="006F45DB"/>
    <w:rsid w:val="006F46B7"/>
    <w:rsid w:val="006F4A05"/>
    <w:rsid w:val="00701B5D"/>
    <w:rsid w:val="00701C51"/>
    <w:rsid w:val="0070285F"/>
    <w:rsid w:val="0070574D"/>
    <w:rsid w:val="00710F27"/>
    <w:rsid w:val="00712F4F"/>
    <w:rsid w:val="007134FE"/>
    <w:rsid w:val="00714DB4"/>
    <w:rsid w:val="00716A9E"/>
    <w:rsid w:val="00721F20"/>
    <w:rsid w:val="00723060"/>
    <w:rsid w:val="00731940"/>
    <w:rsid w:val="00735B9F"/>
    <w:rsid w:val="00735F17"/>
    <w:rsid w:val="00737214"/>
    <w:rsid w:val="0073752E"/>
    <w:rsid w:val="007378DD"/>
    <w:rsid w:val="00740566"/>
    <w:rsid w:val="00740BCA"/>
    <w:rsid w:val="007424BC"/>
    <w:rsid w:val="00742DD1"/>
    <w:rsid w:val="0075466F"/>
    <w:rsid w:val="00755B35"/>
    <w:rsid w:val="00757165"/>
    <w:rsid w:val="00757A88"/>
    <w:rsid w:val="00760AFA"/>
    <w:rsid w:val="007673A3"/>
    <w:rsid w:val="007719B5"/>
    <w:rsid w:val="00774B31"/>
    <w:rsid w:val="007764D4"/>
    <w:rsid w:val="007834CE"/>
    <w:rsid w:val="00785023"/>
    <w:rsid w:val="007852FE"/>
    <w:rsid w:val="00790EF8"/>
    <w:rsid w:val="0079277B"/>
    <w:rsid w:val="00795D27"/>
    <w:rsid w:val="00797FB1"/>
    <w:rsid w:val="007A62CF"/>
    <w:rsid w:val="007B00DB"/>
    <w:rsid w:val="007B39B5"/>
    <w:rsid w:val="007B6F8A"/>
    <w:rsid w:val="007C2141"/>
    <w:rsid w:val="007C3C32"/>
    <w:rsid w:val="007C431C"/>
    <w:rsid w:val="007C4EB5"/>
    <w:rsid w:val="007D551E"/>
    <w:rsid w:val="007D5BB9"/>
    <w:rsid w:val="007E26F4"/>
    <w:rsid w:val="007E2AEC"/>
    <w:rsid w:val="007E320D"/>
    <w:rsid w:val="007E5D86"/>
    <w:rsid w:val="007E6EDD"/>
    <w:rsid w:val="007E7839"/>
    <w:rsid w:val="007F5897"/>
    <w:rsid w:val="007F61B6"/>
    <w:rsid w:val="007F793B"/>
    <w:rsid w:val="007F7C39"/>
    <w:rsid w:val="007F7E9A"/>
    <w:rsid w:val="00805961"/>
    <w:rsid w:val="00811A13"/>
    <w:rsid w:val="00812418"/>
    <w:rsid w:val="00820528"/>
    <w:rsid w:val="00820E95"/>
    <w:rsid w:val="008337AE"/>
    <w:rsid w:val="00834066"/>
    <w:rsid w:val="00844826"/>
    <w:rsid w:val="00847B12"/>
    <w:rsid w:val="008504B4"/>
    <w:rsid w:val="008519F7"/>
    <w:rsid w:val="00856316"/>
    <w:rsid w:val="008567B4"/>
    <w:rsid w:val="008568A0"/>
    <w:rsid w:val="00864A5F"/>
    <w:rsid w:val="008665E1"/>
    <w:rsid w:val="00877A5C"/>
    <w:rsid w:val="0088073E"/>
    <w:rsid w:val="00882E79"/>
    <w:rsid w:val="00883B32"/>
    <w:rsid w:val="00887FD6"/>
    <w:rsid w:val="00892BC3"/>
    <w:rsid w:val="00897D59"/>
    <w:rsid w:val="008A39C0"/>
    <w:rsid w:val="008A7973"/>
    <w:rsid w:val="008B40EA"/>
    <w:rsid w:val="008B7494"/>
    <w:rsid w:val="008B768E"/>
    <w:rsid w:val="008C5079"/>
    <w:rsid w:val="008D0E9B"/>
    <w:rsid w:val="008D5678"/>
    <w:rsid w:val="008D5A3A"/>
    <w:rsid w:val="008E28C5"/>
    <w:rsid w:val="008E2AA2"/>
    <w:rsid w:val="008E590B"/>
    <w:rsid w:val="008E6CD6"/>
    <w:rsid w:val="008F0480"/>
    <w:rsid w:val="008F1B13"/>
    <w:rsid w:val="008F1E01"/>
    <w:rsid w:val="008F20B0"/>
    <w:rsid w:val="008F3D77"/>
    <w:rsid w:val="008F4C83"/>
    <w:rsid w:val="008F64BF"/>
    <w:rsid w:val="008F785D"/>
    <w:rsid w:val="00902282"/>
    <w:rsid w:val="009030E1"/>
    <w:rsid w:val="00904BCD"/>
    <w:rsid w:val="00905833"/>
    <w:rsid w:val="00906D56"/>
    <w:rsid w:val="00906F0F"/>
    <w:rsid w:val="009104C7"/>
    <w:rsid w:val="00910D68"/>
    <w:rsid w:val="00912CBB"/>
    <w:rsid w:val="00921DC1"/>
    <w:rsid w:val="00922C50"/>
    <w:rsid w:val="009239CE"/>
    <w:rsid w:val="0092485A"/>
    <w:rsid w:val="00925E11"/>
    <w:rsid w:val="00930AA5"/>
    <w:rsid w:val="00931673"/>
    <w:rsid w:val="00931D0C"/>
    <w:rsid w:val="00934742"/>
    <w:rsid w:val="00935A14"/>
    <w:rsid w:val="00936DBB"/>
    <w:rsid w:val="009378A9"/>
    <w:rsid w:val="009409B2"/>
    <w:rsid w:val="0094162A"/>
    <w:rsid w:val="00944E38"/>
    <w:rsid w:val="0094552C"/>
    <w:rsid w:val="00946B05"/>
    <w:rsid w:val="00947B73"/>
    <w:rsid w:val="00950CE9"/>
    <w:rsid w:val="00950F7D"/>
    <w:rsid w:val="009537FA"/>
    <w:rsid w:val="00955B4D"/>
    <w:rsid w:val="00957624"/>
    <w:rsid w:val="00960A14"/>
    <w:rsid w:val="00961AD6"/>
    <w:rsid w:val="00961BF3"/>
    <w:rsid w:val="00962F4B"/>
    <w:rsid w:val="00964197"/>
    <w:rsid w:val="00970DC8"/>
    <w:rsid w:val="00970E3D"/>
    <w:rsid w:val="00973135"/>
    <w:rsid w:val="009745EF"/>
    <w:rsid w:val="00975E4A"/>
    <w:rsid w:val="00976C70"/>
    <w:rsid w:val="00976C8D"/>
    <w:rsid w:val="009817E3"/>
    <w:rsid w:val="00985CDF"/>
    <w:rsid w:val="0098735C"/>
    <w:rsid w:val="00992A0A"/>
    <w:rsid w:val="009A094E"/>
    <w:rsid w:val="009A491E"/>
    <w:rsid w:val="009A7277"/>
    <w:rsid w:val="009B3267"/>
    <w:rsid w:val="009B61BC"/>
    <w:rsid w:val="009B7365"/>
    <w:rsid w:val="009C5178"/>
    <w:rsid w:val="009D083F"/>
    <w:rsid w:val="009D37F7"/>
    <w:rsid w:val="009E45C3"/>
    <w:rsid w:val="009F73F2"/>
    <w:rsid w:val="00A00D06"/>
    <w:rsid w:val="00A06211"/>
    <w:rsid w:val="00A0721A"/>
    <w:rsid w:val="00A14BEF"/>
    <w:rsid w:val="00A1515D"/>
    <w:rsid w:val="00A15AED"/>
    <w:rsid w:val="00A1673D"/>
    <w:rsid w:val="00A16F34"/>
    <w:rsid w:val="00A218B6"/>
    <w:rsid w:val="00A31E07"/>
    <w:rsid w:val="00A433A7"/>
    <w:rsid w:val="00A45B2D"/>
    <w:rsid w:val="00A57828"/>
    <w:rsid w:val="00A61582"/>
    <w:rsid w:val="00A654B3"/>
    <w:rsid w:val="00A66296"/>
    <w:rsid w:val="00A665B6"/>
    <w:rsid w:val="00A67998"/>
    <w:rsid w:val="00A71836"/>
    <w:rsid w:val="00A775E5"/>
    <w:rsid w:val="00A77CFF"/>
    <w:rsid w:val="00A854E4"/>
    <w:rsid w:val="00A874B8"/>
    <w:rsid w:val="00A92B87"/>
    <w:rsid w:val="00A937E9"/>
    <w:rsid w:val="00A93A17"/>
    <w:rsid w:val="00A97F89"/>
    <w:rsid w:val="00AA0E3F"/>
    <w:rsid w:val="00AA1787"/>
    <w:rsid w:val="00AA422E"/>
    <w:rsid w:val="00AA6FB7"/>
    <w:rsid w:val="00AA77B4"/>
    <w:rsid w:val="00AA7F1B"/>
    <w:rsid w:val="00AB025F"/>
    <w:rsid w:val="00AB3122"/>
    <w:rsid w:val="00AB394D"/>
    <w:rsid w:val="00AB6127"/>
    <w:rsid w:val="00AC2B80"/>
    <w:rsid w:val="00AC5116"/>
    <w:rsid w:val="00AC7D1F"/>
    <w:rsid w:val="00AD05B6"/>
    <w:rsid w:val="00AD3307"/>
    <w:rsid w:val="00AD493D"/>
    <w:rsid w:val="00AD56D3"/>
    <w:rsid w:val="00AD58BE"/>
    <w:rsid w:val="00AD7190"/>
    <w:rsid w:val="00AE1D8F"/>
    <w:rsid w:val="00AE233F"/>
    <w:rsid w:val="00AE2A4C"/>
    <w:rsid w:val="00AE6454"/>
    <w:rsid w:val="00AE74A6"/>
    <w:rsid w:val="00AF0017"/>
    <w:rsid w:val="00AF09E4"/>
    <w:rsid w:val="00AF6C1A"/>
    <w:rsid w:val="00AF6F7A"/>
    <w:rsid w:val="00AF7841"/>
    <w:rsid w:val="00B004F9"/>
    <w:rsid w:val="00B11FB9"/>
    <w:rsid w:val="00B15111"/>
    <w:rsid w:val="00B15B92"/>
    <w:rsid w:val="00B17568"/>
    <w:rsid w:val="00B23F01"/>
    <w:rsid w:val="00B24AAB"/>
    <w:rsid w:val="00B251C7"/>
    <w:rsid w:val="00B26649"/>
    <w:rsid w:val="00B2693B"/>
    <w:rsid w:val="00B31CA4"/>
    <w:rsid w:val="00B334E9"/>
    <w:rsid w:val="00B36E98"/>
    <w:rsid w:val="00B44E40"/>
    <w:rsid w:val="00B45B1A"/>
    <w:rsid w:val="00B47B95"/>
    <w:rsid w:val="00B50400"/>
    <w:rsid w:val="00B54D44"/>
    <w:rsid w:val="00B57C03"/>
    <w:rsid w:val="00B602D7"/>
    <w:rsid w:val="00B61320"/>
    <w:rsid w:val="00B616FC"/>
    <w:rsid w:val="00B629F3"/>
    <w:rsid w:val="00B65788"/>
    <w:rsid w:val="00B65E98"/>
    <w:rsid w:val="00B701E3"/>
    <w:rsid w:val="00B706B0"/>
    <w:rsid w:val="00B73174"/>
    <w:rsid w:val="00B77752"/>
    <w:rsid w:val="00B778CE"/>
    <w:rsid w:val="00B85680"/>
    <w:rsid w:val="00B86AA2"/>
    <w:rsid w:val="00B87027"/>
    <w:rsid w:val="00B9092C"/>
    <w:rsid w:val="00B92090"/>
    <w:rsid w:val="00B92EFE"/>
    <w:rsid w:val="00B94902"/>
    <w:rsid w:val="00B95FAF"/>
    <w:rsid w:val="00B9606B"/>
    <w:rsid w:val="00B96BAC"/>
    <w:rsid w:val="00BA2E09"/>
    <w:rsid w:val="00BA4CC9"/>
    <w:rsid w:val="00BA59E5"/>
    <w:rsid w:val="00BA61FC"/>
    <w:rsid w:val="00BB1941"/>
    <w:rsid w:val="00BB1E88"/>
    <w:rsid w:val="00BB254B"/>
    <w:rsid w:val="00BB4E81"/>
    <w:rsid w:val="00BB61E7"/>
    <w:rsid w:val="00BB7C86"/>
    <w:rsid w:val="00BC1BE0"/>
    <w:rsid w:val="00BC2494"/>
    <w:rsid w:val="00BC2594"/>
    <w:rsid w:val="00BC2FC5"/>
    <w:rsid w:val="00BC459D"/>
    <w:rsid w:val="00BC531D"/>
    <w:rsid w:val="00BD46A0"/>
    <w:rsid w:val="00BD6A4E"/>
    <w:rsid w:val="00BE1221"/>
    <w:rsid w:val="00BE16FC"/>
    <w:rsid w:val="00BE1867"/>
    <w:rsid w:val="00BF1FC7"/>
    <w:rsid w:val="00BF31A5"/>
    <w:rsid w:val="00BF698F"/>
    <w:rsid w:val="00C00D15"/>
    <w:rsid w:val="00C021D0"/>
    <w:rsid w:val="00C12401"/>
    <w:rsid w:val="00C13DB3"/>
    <w:rsid w:val="00C207D6"/>
    <w:rsid w:val="00C21947"/>
    <w:rsid w:val="00C427B5"/>
    <w:rsid w:val="00C44817"/>
    <w:rsid w:val="00C44D6C"/>
    <w:rsid w:val="00C47B34"/>
    <w:rsid w:val="00C5557F"/>
    <w:rsid w:val="00C5623E"/>
    <w:rsid w:val="00C56282"/>
    <w:rsid w:val="00C62822"/>
    <w:rsid w:val="00C658F3"/>
    <w:rsid w:val="00C65DBB"/>
    <w:rsid w:val="00C70AEA"/>
    <w:rsid w:val="00C7268F"/>
    <w:rsid w:val="00C741FB"/>
    <w:rsid w:val="00C84591"/>
    <w:rsid w:val="00C84FD5"/>
    <w:rsid w:val="00C86696"/>
    <w:rsid w:val="00C91778"/>
    <w:rsid w:val="00C955A9"/>
    <w:rsid w:val="00C9574C"/>
    <w:rsid w:val="00C9603C"/>
    <w:rsid w:val="00C97CC8"/>
    <w:rsid w:val="00CA43F3"/>
    <w:rsid w:val="00CA470E"/>
    <w:rsid w:val="00CA55DC"/>
    <w:rsid w:val="00CA61E1"/>
    <w:rsid w:val="00CB08DE"/>
    <w:rsid w:val="00CB5EC2"/>
    <w:rsid w:val="00CB646F"/>
    <w:rsid w:val="00CC16B8"/>
    <w:rsid w:val="00CC2405"/>
    <w:rsid w:val="00CC24E6"/>
    <w:rsid w:val="00CC5C76"/>
    <w:rsid w:val="00CC6AB6"/>
    <w:rsid w:val="00CC7349"/>
    <w:rsid w:val="00CC7D0F"/>
    <w:rsid w:val="00CD2539"/>
    <w:rsid w:val="00CE1B3D"/>
    <w:rsid w:val="00CE26E3"/>
    <w:rsid w:val="00CE3988"/>
    <w:rsid w:val="00CE3F75"/>
    <w:rsid w:val="00CE49D0"/>
    <w:rsid w:val="00CE4D3B"/>
    <w:rsid w:val="00CF05A7"/>
    <w:rsid w:val="00CF0DD4"/>
    <w:rsid w:val="00CF1B46"/>
    <w:rsid w:val="00CF2BF1"/>
    <w:rsid w:val="00CF2D07"/>
    <w:rsid w:val="00CF5FE6"/>
    <w:rsid w:val="00CF6EEC"/>
    <w:rsid w:val="00CF75FF"/>
    <w:rsid w:val="00D01270"/>
    <w:rsid w:val="00D05443"/>
    <w:rsid w:val="00D0641F"/>
    <w:rsid w:val="00D075AB"/>
    <w:rsid w:val="00D151C0"/>
    <w:rsid w:val="00D300BA"/>
    <w:rsid w:val="00D30915"/>
    <w:rsid w:val="00D32257"/>
    <w:rsid w:val="00D3373C"/>
    <w:rsid w:val="00D33899"/>
    <w:rsid w:val="00D342E6"/>
    <w:rsid w:val="00D3602B"/>
    <w:rsid w:val="00D37480"/>
    <w:rsid w:val="00D434F0"/>
    <w:rsid w:val="00D44C87"/>
    <w:rsid w:val="00D468FA"/>
    <w:rsid w:val="00D47DE8"/>
    <w:rsid w:val="00D51754"/>
    <w:rsid w:val="00D52C9E"/>
    <w:rsid w:val="00D562C9"/>
    <w:rsid w:val="00D618DA"/>
    <w:rsid w:val="00D647AE"/>
    <w:rsid w:val="00D67338"/>
    <w:rsid w:val="00D67342"/>
    <w:rsid w:val="00D67587"/>
    <w:rsid w:val="00D678FB"/>
    <w:rsid w:val="00D711AA"/>
    <w:rsid w:val="00D73DD7"/>
    <w:rsid w:val="00D74F37"/>
    <w:rsid w:val="00D77A09"/>
    <w:rsid w:val="00D77A44"/>
    <w:rsid w:val="00D77ACD"/>
    <w:rsid w:val="00D77EF4"/>
    <w:rsid w:val="00D80833"/>
    <w:rsid w:val="00D85B48"/>
    <w:rsid w:val="00D87758"/>
    <w:rsid w:val="00D92F47"/>
    <w:rsid w:val="00D9426B"/>
    <w:rsid w:val="00D96D3F"/>
    <w:rsid w:val="00D97952"/>
    <w:rsid w:val="00DA1B6E"/>
    <w:rsid w:val="00DA3820"/>
    <w:rsid w:val="00DA4228"/>
    <w:rsid w:val="00DA550B"/>
    <w:rsid w:val="00DB16ED"/>
    <w:rsid w:val="00DB2193"/>
    <w:rsid w:val="00DB3AF0"/>
    <w:rsid w:val="00DB3FD2"/>
    <w:rsid w:val="00DB774F"/>
    <w:rsid w:val="00DC1554"/>
    <w:rsid w:val="00DC189B"/>
    <w:rsid w:val="00DC37F0"/>
    <w:rsid w:val="00DC44A0"/>
    <w:rsid w:val="00DC4924"/>
    <w:rsid w:val="00DC526C"/>
    <w:rsid w:val="00DC6D78"/>
    <w:rsid w:val="00DD037D"/>
    <w:rsid w:val="00DD1BD9"/>
    <w:rsid w:val="00DD1F06"/>
    <w:rsid w:val="00DD24FA"/>
    <w:rsid w:val="00DE2C99"/>
    <w:rsid w:val="00DE3945"/>
    <w:rsid w:val="00DF1166"/>
    <w:rsid w:val="00DF1FE8"/>
    <w:rsid w:val="00DF2549"/>
    <w:rsid w:val="00DF57F5"/>
    <w:rsid w:val="00DF733B"/>
    <w:rsid w:val="00E026F2"/>
    <w:rsid w:val="00E04342"/>
    <w:rsid w:val="00E06CF6"/>
    <w:rsid w:val="00E113AD"/>
    <w:rsid w:val="00E11534"/>
    <w:rsid w:val="00E145CE"/>
    <w:rsid w:val="00E153A8"/>
    <w:rsid w:val="00E21F16"/>
    <w:rsid w:val="00E22759"/>
    <w:rsid w:val="00E2348D"/>
    <w:rsid w:val="00E26A45"/>
    <w:rsid w:val="00E31B89"/>
    <w:rsid w:val="00E4216A"/>
    <w:rsid w:val="00E4294C"/>
    <w:rsid w:val="00E45738"/>
    <w:rsid w:val="00E46008"/>
    <w:rsid w:val="00E51E37"/>
    <w:rsid w:val="00E6347D"/>
    <w:rsid w:val="00E6646F"/>
    <w:rsid w:val="00E66DFC"/>
    <w:rsid w:val="00E67E1E"/>
    <w:rsid w:val="00E71752"/>
    <w:rsid w:val="00E7211B"/>
    <w:rsid w:val="00E723B3"/>
    <w:rsid w:val="00E7765D"/>
    <w:rsid w:val="00E958D7"/>
    <w:rsid w:val="00E96720"/>
    <w:rsid w:val="00E9761C"/>
    <w:rsid w:val="00E97B67"/>
    <w:rsid w:val="00E97CC1"/>
    <w:rsid w:val="00EA0AD0"/>
    <w:rsid w:val="00EA0E0B"/>
    <w:rsid w:val="00EA347B"/>
    <w:rsid w:val="00EA67BB"/>
    <w:rsid w:val="00EB0500"/>
    <w:rsid w:val="00EB1D7B"/>
    <w:rsid w:val="00EB6F21"/>
    <w:rsid w:val="00EC0100"/>
    <w:rsid w:val="00EC0E55"/>
    <w:rsid w:val="00EC33E5"/>
    <w:rsid w:val="00EC3988"/>
    <w:rsid w:val="00EC6272"/>
    <w:rsid w:val="00EC6777"/>
    <w:rsid w:val="00EC6809"/>
    <w:rsid w:val="00ED26D1"/>
    <w:rsid w:val="00ED3F5C"/>
    <w:rsid w:val="00ED5A7B"/>
    <w:rsid w:val="00ED6091"/>
    <w:rsid w:val="00ED66C3"/>
    <w:rsid w:val="00EE08B3"/>
    <w:rsid w:val="00EE09C6"/>
    <w:rsid w:val="00EE363A"/>
    <w:rsid w:val="00EE49EA"/>
    <w:rsid w:val="00EE4CDF"/>
    <w:rsid w:val="00EE4D5D"/>
    <w:rsid w:val="00EF01E5"/>
    <w:rsid w:val="00EF0C16"/>
    <w:rsid w:val="00EF1CCC"/>
    <w:rsid w:val="00EF1DF2"/>
    <w:rsid w:val="00EF3095"/>
    <w:rsid w:val="00EF3F10"/>
    <w:rsid w:val="00EF6A8D"/>
    <w:rsid w:val="00F0470F"/>
    <w:rsid w:val="00F05BBC"/>
    <w:rsid w:val="00F06982"/>
    <w:rsid w:val="00F1079B"/>
    <w:rsid w:val="00F1089D"/>
    <w:rsid w:val="00F113C0"/>
    <w:rsid w:val="00F11586"/>
    <w:rsid w:val="00F179CB"/>
    <w:rsid w:val="00F20A95"/>
    <w:rsid w:val="00F23508"/>
    <w:rsid w:val="00F23B17"/>
    <w:rsid w:val="00F248FD"/>
    <w:rsid w:val="00F27FFE"/>
    <w:rsid w:val="00F31FDE"/>
    <w:rsid w:val="00F32A62"/>
    <w:rsid w:val="00F335E9"/>
    <w:rsid w:val="00F4174D"/>
    <w:rsid w:val="00F41B43"/>
    <w:rsid w:val="00F43611"/>
    <w:rsid w:val="00F442A2"/>
    <w:rsid w:val="00F461A1"/>
    <w:rsid w:val="00F50F12"/>
    <w:rsid w:val="00F51117"/>
    <w:rsid w:val="00F64F30"/>
    <w:rsid w:val="00F65716"/>
    <w:rsid w:val="00F661DE"/>
    <w:rsid w:val="00F70085"/>
    <w:rsid w:val="00F712CD"/>
    <w:rsid w:val="00F740EE"/>
    <w:rsid w:val="00F7762F"/>
    <w:rsid w:val="00F85571"/>
    <w:rsid w:val="00F85DF1"/>
    <w:rsid w:val="00F870D2"/>
    <w:rsid w:val="00F9000B"/>
    <w:rsid w:val="00F902CE"/>
    <w:rsid w:val="00F90C2B"/>
    <w:rsid w:val="00F94A2F"/>
    <w:rsid w:val="00F94D5E"/>
    <w:rsid w:val="00FA04EE"/>
    <w:rsid w:val="00FA1632"/>
    <w:rsid w:val="00FA19A3"/>
    <w:rsid w:val="00FA1AEA"/>
    <w:rsid w:val="00FA2186"/>
    <w:rsid w:val="00FB3A30"/>
    <w:rsid w:val="00FB3E2E"/>
    <w:rsid w:val="00FB4ABF"/>
    <w:rsid w:val="00FB6DE8"/>
    <w:rsid w:val="00FC02EB"/>
    <w:rsid w:val="00FC4864"/>
    <w:rsid w:val="00FD063D"/>
    <w:rsid w:val="00FD1792"/>
    <w:rsid w:val="00FD2C1A"/>
    <w:rsid w:val="00FD5407"/>
    <w:rsid w:val="00FD659F"/>
    <w:rsid w:val="00FE07B1"/>
    <w:rsid w:val="00FE245A"/>
    <w:rsid w:val="00FE2FEA"/>
    <w:rsid w:val="00FE438A"/>
    <w:rsid w:val="00FF418C"/>
    <w:rsid w:val="00FF47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7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19F7"/>
    <w:pPr>
      <w:ind w:left="720"/>
      <w:contextualSpacing/>
    </w:pPr>
  </w:style>
  <w:style w:type="paragraph" w:styleId="Notedebasdepage">
    <w:name w:val="footnote text"/>
    <w:basedOn w:val="Normal"/>
    <w:link w:val="NotedebasdepageCar"/>
    <w:uiPriority w:val="99"/>
    <w:unhideWhenUsed/>
    <w:rsid w:val="005C55E7"/>
    <w:pPr>
      <w:spacing w:after="0" w:line="240" w:lineRule="auto"/>
    </w:pPr>
    <w:rPr>
      <w:sz w:val="20"/>
      <w:szCs w:val="20"/>
    </w:rPr>
  </w:style>
  <w:style w:type="character" w:customStyle="1" w:styleId="NotedebasdepageCar">
    <w:name w:val="Note de bas de page Car"/>
    <w:basedOn w:val="Policepardfaut"/>
    <w:link w:val="Notedebasdepage"/>
    <w:uiPriority w:val="99"/>
    <w:rsid w:val="005C55E7"/>
    <w:rPr>
      <w:sz w:val="20"/>
      <w:szCs w:val="20"/>
    </w:rPr>
  </w:style>
  <w:style w:type="character" w:styleId="Appelnotedebasdep">
    <w:name w:val="footnote reference"/>
    <w:basedOn w:val="Policepardfaut"/>
    <w:uiPriority w:val="99"/>
    <w:semiHidden/>
    <w:unhideWhenUsed/>
    <w:rsid w:val="005C55E7"/>
    <w:rPr>
      <w:vertAlign w:val="superscript"/>
    </w:rPr>
  </w:style>
  <w:style w:type="paragraph" w:styleId="En-tte">
    <w:name w:val="header"/>
    <w:basedOn w:val="Normal"/>
    <w:link w:val="En-tteCar"/>
    <w:uiPriority w:val="99"/>
    <w:unhideWhenUsed/>
    <w:rsid w:val="00B73174"/>
    <w:pPr>
      <w:tabs>
        <w:tab w:val="center" w:pos="4536"/>
        <w:tab w:val="right" w:pos="9072"/>
      </w:tabs>
      <w:spacing w:after="0" w:line="240" w:lineRule="auto"/>
    </w:pPr>
  </w:style>
  <w:style w:type="character" w:customStyle="1" w:styleId="En-tteCar">
    <w:name w:val="En-tête Car"/>
    <w:basedOn w:val="Policepardfaut"/>
    <w:link w:val="En-tte"/>
    <w:uiPriority w:val="99"/>
    <w:rsid w:val="00B73174"/>
  </w:style>
  <w:style w:type="paragraph" w:styleId="Pieddepage">
    <w:name w:val="footer"/>
    <w:basedOn w:val="Normal"/>
    <w:link w:val="PieddepageCar"/>
    <w:uiPriority w:val="99"/>
    <w:unhideWhenUsed/>
    <w:rsid w:val="00B731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174"/>
  </w:style>
  <w:style w:type="table" w:styleId="Grilledutableau">
    <w:name w:val="Table Grid"/>
    <w:basedOn w:val="TableauNormal"/>
    <w:uiPriority w:val="39"/>
    <w:rsid w:val="00356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E4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2F"/>
    <w:rPr>
      <w:rFonts w:ascii="Segoe UI" w:hAnsi="Segoe UI" w:cs="Segoe UI"/>
      <w:sz w:val="18"/>
      <w:szCs w:val="18"/>
    </w:rPr>
  </w:style>
  <w:style w:type="character" w:styleId="Marquedecommentaire">
    <w:name w:val="annotation reference"/>
    <w:basedOn w:val="Policepardfaut"/>
    <w:uiPriority w:val="99"/>
    <w:semiHidden/>
    <w:unhideWhenUsed/>
    <w:rsid w:val="00701B5D"/>
    <w:rPr>
      <w:sz w:val="16"/>
      <w:szCs w:val="16"/>
    </w:rPr>
  </w:style>
  <w:style w:type="paragraph" w:styleId="Commentaire">
    <w:name w:val="annotation text"/>
    <w:basedOn w:val="Normal"/>
    <w:link w:val="CommentaireCar"/>
    <w:uiPriority w:val="99"/>
    <w:semiHidden/>
    <w:unhideWhenUsed/>
    <w:rsid w:val="00701B5D"/>
    <w:pPr>
      <w:spacing w:line="240" w:lineRule="auto"/>
    </w:pPr>
    <w:rPr>
      <w:sz w:val="20"/>
      <w:szCs w:val="20"/>
    </w:rPr>
  </w:style>
  <w:style w:type="character" w:customStyle="1" w:styleId="CommentaireCar">
    <w:name w:val="Commentaire Car"/>
    <w:basedOn w:val="Policepardfaut"/>
    <w:link w:val="Commentaire"/>
    <w:uiPriority w:val="99"/>
    <w:semiHidden/>
    <w:rsid w:val="00701B5D"/>
    <w:rPr>
      <w:sz w:val="20"/>
      <w:szCs w:val="20"/>
    </w:rPr>
  </w:style>
  <w:style w:type="paragraph" w:styleId="Objetducommentaire">
    <w:name w:val="annotation subject"/>
    <w:basedOn w:val="Commentaire"/>
    <w:next w:val="Commentaire"/>
    <w:link w:val="ObjetducommentaireCar"/>
    <w:uiPriority w:val="99"/>
    <w:semiHidden/>
    <w:unhideWhenUsed/>
    <w:rsid w:val="00701B5D"/>
    <w:rPr>
      <w:b/>
      <w:bCs/>
    </w:rPr>
  </w:style>
  <w:style w:type="character" w:customStyle="1" w:styleId="ObjetducommentaireCar">
    <w:name w:val="Objet du commentaire Car"/>
    <w:basedOn w:val="CommentaireCar"/>
    <w:link w:val="Objetducommentaire"/>
    <w:uiPriority w:val="99"/>
    <w:semiHidden/>
    <w:rsid w:val="00701B5D"/>
    <w:rPr>
      <w:b/>
      <w:bCs/>
      <w:sz w:val="20"/>
      <w:szCs w:val="20"/>
    </w:rPr>
  </w:style>
  <w:style w:type="paragraph" w:styleId="Sansinterligne">
    <w:name w:val="No Spacing"/>
    <w:uiPriority w:val="1"/>
    <w:qFormat/>
    <w:rsid w:val="00330C2D"/>
    <w:pPr>
      <w:spacing w:after="0" w:line="240" w:lineRule="auto"/>
    </w:pPr>
  </w:style>
  <w:style w:type="paragraph" w:styleId="NormalWeb">
    <w:name w:val="Normal (Web)"/>
    <w:basedOn w:val="Normal"/>
    <w:uiPriority w:val="99"/>
    <w:unhideWhenUsed/>
    <w:rsid w:val="007F7E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19F7"/>
    <w:pPr>
      <w:ind w:left="720"/>
      <w:contextualSpacing/>
    </w:pPr>
  </w:style>
  <w:style w:type="paragraph" w:styleId="Notedebasdepage">
    <w:name w:val="footnote text"/>
    <w:basedOn w:val="Normal"/>
    <w:link w:val="NotedebasdepageCar"/>
    <w:uiPriority w:val="99"/>
    <w:unhideWhenUsed/>
    <w:rsid w:val="005C55E7"/>
    <w:pPr>
      <w:spacing w:after="0" w:line="240" w:lineRule="auto"/>
    </w:pPr>
    <w:rPr>
      <w:sz w:val="20"/>
      <w:szCs w:val="20"/>
    </w:rPr>
  </w:style>
  <w:style w:type="character" w:customStyle="1" w:styleId="NotedebasdepageCar">
    <w:name w:val="Note de bas de page Car"/>
    <w:basedOn w:val="Policepardfaut"/>
    <w:link w:val="Notedebasdepage"/>
    <w:uiPriority w:val="99"/>
    <w:rsid w:val="005C55E7"/>
    <w:rPr>
      <w:sz w:val="20"/>
      <w:szCs w:val="20"/>
    </w:rPr>
  </w:style>
  <w:style w:type="character" w:styleId="Appelnotedebasdep">
    <w:name w:val="footnote reference"/>
    <w:basedOn w:val="Policepardfaut"/>
    <w:uiPriority w:val="99"/>
    <w:semiHidden/>
    <w:unhideWhenUsed/>
    <w:rsid w:val="005C55E7"/>
    <w:rPr>
      <w:vertAlign w:val="superscript"/>
    </w:rPr>
  </w:style>
  <w:style w:type="paragraph" w:styleId="En-tte">
    <w:name w:val="header"/>
    <w:basedOn w:val="Normal"/>
    <w:link w:val="En-tteCar"/>
    <w:uiPriority w:val="99"/>
    <w:unhideWhenUsed/>
    <w:rsid w:val="00B73174"/>
    <w:pPr>
      <w:tabs>
        <w:tab w:val="center" w:pos="4536"/>
        <w:tab w:val="right" w:pos="9072"/>
      </w:tabs>
      <w:spacing w:after="0" w:line="240" w:lineRule="auto"/>
    </w:pPr>
  </w:style>
  <w:style w:type="character" w:customStyle="1" w:styleId="En-tteCar">
    <w:name w:val="En-tête Car"/>
    <w:basedOn w:val="Policepardfaut"/>
    <w:link w:val="En-tte"/>
    <w:uiPriority w:val="99"/>
    <w:rsid w:val="00B73174"/>
  </w:style>
  <w:style w:type="paragraph" w:styleId="Pieddepage">
    <w:name w:val="footer"/>
    <w:basedOn w:val="Normal"/>
    <w:link w:val="PieddepageCar"/>
    <w:uiPriority w:val="99"/>
    <w:unhideWhenUsed/>
    <w:rsid w:val="00B731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174"/>
  </w:style>
  <w:style w:type="table" w:styleId="Grilledutableau">
    <w:name w:val="Table Grid"/>
    <w:basedOn w:val="TableauNormal"/>
    <w:uiPriority w:val="39"/>
    <w:rsid w:val="00356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E4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2F"/>
    <w:rPr>
      <w:rFonts w:ascii="Segoe UI" w:hAnsi="Segoe UI" w:cs="Segoe UI"/>
      <w:sz w:val="18"/>
      <w:szCs w:val="18"/>
    </w:rPr>
  </w:style>
  <w:style w:type="character" w:styleId="Marquedecommentaire">
    <w:name w:val="annotation reference"/>
    <w:basedOn w:val="Policepardfaut"/>
    <w:uiPriority w:val="99"/>
    <w:semiHidden/>
    <w:unhideWhenUsed/>
    <w:rsid w:val="00701B5D"/>
    <w:rPr>
      <w:sz w:val="16"/>
      <w:szCs w:val="16"/>
    </w:rPr>
  </w:style>
  <w:style w:type="paragraph" w:styleId="Commentaire">
    <w:name w:val="annotation text"/>
    <w:basedOn w:val="Normal"/>
    <w:link w:val="CommentaireCar"/>
    <w:uiPriority w:val="99"/>
    <w:semiHidden/>
    <w:unhideWhenUsed/>
    <w:rsid w:val="00701B5D"/>
    <w:pPr>
      <w:spacing w:line="240" w:lineRule="auto"/>
    </w:pPr>
    <w:rPr>
      <w:sz w:val="20"/>
      <w:szCs w:val="20"/>
    </w:rPr>
  </w:style>
  <w:style w:type="character" w:customStyle="1" w:styleId="CommentaireCar">
    <w:name w:val="Commentaire Car"/>
    <w:basedOn w:val="Policepardfaut"/>
    <w:link w:val="Commentaire"/>
    <w:uiPriority w:val="99"/>
    <w:semiHidden/>
    <w:rsid w:val="00701B5D"/>
    <w:rPr>
      <w:sz w:val="20"/>
      <w:szCs w:val="20"/>
    </w:rPr>
  </w:style>
  <w:style w:type="paragraph" w:styleId="Objetducommentaire">
    <w:name w:val="annotation subject"/>
    <w:basedOn w:val="Commentaire"/>
    <w:next w:val="Commentaire"/>
    <w:link w:val="ObjetducommentaireCar"/>
    <w:uiPriority w:val="99"/>
    <w:semiHidden/>
    <w:unhideWhenUsed/>
    <w:rsid w:val="00701B5D"/>
    <w:rPr>
      <w:b/>
      <w:bCs/>
    </w:rPr>
  </w:style>
  <w:style w:type="character" w:customStyle="1" w:styleId="ObjetducommentaireCar">
    <w:name w:val="Objet du commentaire Car"/>
    <w:basedOn w:val="CommentaireCar"/>
    <w:link w:val="Objetducommentaire"/>
    <w:uiPriority w:val="99"/>
    <w:semiHidden/>
    <w:rsid w:val="00701B5D"/>
    <w:rPr>
      <w:b/>
      <w:bCs/>
      <w:sz w:val="20"/>
      <w:szCs w:val="20"/>
    </w:rPr>
  </w:style>
  <w:style w:type="paragraph" w:styleId="Sansinterligne">
    <w:name w:val="No Spacing"/>
    <w:uiPriority w:val="1"/>
    <w:qFormat/>
    <w:rsid w:val="00330C2D"/>
    <w:pPr>
      <w:spacing w:after="0" w:line="240" w:lineRule="auto"/>
    </w:pPr>
  </w:style>
  <w:style w:type="paragraph" w:styleId="NormalWeb">
    <w:name w:val="Normal (Web)"/>
    <w:basedOn w:val="Normal"/>
    <w:uiPriority w:val="99"/>
    <w:unhideWhenUsed/>
    <w:rsid w:val="007F7E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1.xml"/><Relationship Id="rId42" Type="http://schemas.openxmlformats.org/officeDocument/2006/relationships/image" Target="media/image29.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EB64245E8C943AB90D04A548EC969" ma:contentTypeVersion="7" ma:contentTypeDescription="Crée un document." ma:contentTypeScope="" ma:versionID="e91ee18d774fd400e1d0b162c913250f">
  <xsd:schema xmlns:xsd="http://www.w3.org/2001/XMLSchema" xmlns:xs="http://www.w3.org/2001/XMLSchema" xmlns:p="http://schemas.microsoft.com/office/2006/metadata/properties" xmlns:ns2="40598c5b-eb8b-44b6-acb4-096b356a2fab" xmlns:ns3="b90ad063-18ad-4023-a8d9-ba1a0d0e66b8" targetNamespace="http://schemas.microsoft.com/office/2006/metadata/properties" ma:root="true" ma:fieldsID="f44a5fe5fe8c2453098d8436fd77f5d4" ns2:_="" ns3:_="">
    <xsd:import namespace="40598c5b-eb8b-44b6-acb4-096b356a2fab"/>
    <xsd:import namespace="b90ad063-18ad-4023-a8d9-ba1a0d0e66b8"/>
    <xsd:element name="properties">
      <xsd:complexType>
        <xsd:sequence>
          <xsd:element name="documentManagement">
            <xsd:complexType>
              <xsd:all>
                <xsd:element ref="ns2:Type_x0020_de_x0020_document" minOccurs="0"/>
                <xsd:element ref="ns2:e03f3dd452ed4d79aff0ab23e5d8c1b6" minOccurs="0"/>
                <xsd:element ref="ns3:TaxCatchAl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98c5b-eb8b-44b6-acb4-096b356a2fab" elementFormDefault="qualified">
    <xsd:import namespace="http://schemas.microsoft.com/office/2006/documentManagement/types"/>
    <xsd:import namespace="http://schemas.microsoft.com/office/infopath/2007/PartnerControls"/>
    <xsd:element name="Type_x0020_de_x0020_document" ma:index="8" nillable="true" ma:displayName="Type de document" ma:format="Dropdown" ma:internalName="Type_x0020_de_x0020_document">
      <xsd:simpleType>
        <xsd:restriction base="dms:Choice">
          <xsd:enumeration value="Word"/>
          <xsd:enumeration value="Powerpoint"/>
          <xsd:enumeration value="Excel"/>
          <xsd:enumeration value="PDF"/>
          <xsd:enumeration value="Autre"/>
        </xsd:restriction>
      </xsd:simpleType>
    </xsd:element>
    <xsd:element name="e03f3dd452ed4d79aff0ab23e5d8c1b6" ma:index="10" ma:taxonomy="true" ma:internalName="e03f3dd452ed4d79aff0ab23e5d8c1b6" ma:taxonomyFieldName="Th_x00e8_mes_x0020_du_x0020_document" ma:displayName="Thèmes du document" ma:readOnly="false" ma:default="1;#SEE|81099eea-3737-4fde-9257-bfa293ae1818" ma:fieldId="{e03f3dd4-52ed-4d79-aff0-ab23e5d8c1b6}" ma:taxonomyMulti="true" ma:sspId="16fb23be-d400-4d26-b240-6ede1ba76c2a" ma:termSetId="c1980e8c-4c88-4cf8-9104-98d37fd01eb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0ad063-18ad-4023-a8d9-ba1a0d0e66b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09cd5039-f872-497a-b846-607916489662}" ma:internalName="TaxCatchAll" ma:showField="CatchAllData" ma:web="b90ad063-18ad-4023-a8d9-ba1a0d0e66b8">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0ad063-18ad-4023-a8d9-ba1a0d0e66b8">
      <Value>27</Value>
    </TaxCatchAll>
    <Type_x0020_de_x0020_document xmlns="40598c5b-eb8b-44b6-acb4-096b356a2fab" xsi:nil="true"/>
    <e03f3dd452ed4d79aff0ab23e5d8c1b6 xmlns="40598c5b-eb8b-44b6-acb4-096b356a2fab">
      <Terms xmlns="http://schemas.microsoft.com/office/infopath/2007/PartnerControls">
        <TermInfo xmlns="http://schemas.microsoft.com/office/infopath/2007/PartnerControls">
          <TermName xmlns="http://schemas.microsoft.com/office/infopath/2007/PartnerControls">Documents provisoires</TermName>
          <TermId xmlns="http://schemas.microsoft.com/office/infopath/2007/PartnerControls">30b414c5-c73a-4a2f-bfe1-8284126dc5b0</TermId>
        </TermInfo>
      </Terms>
    </e03f3dd452ed4d79aff0ab23e5d8c1b6>
    <SharedWithUsers xmlns="b90ad063-18ad-4023-a8d9-ba1a0d0e66b8">
      <UserInfo>
        <DisplayName>CHAPEAUX Loïc ( FFB DAEFI )</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1F28F-F95F-4A2B-B2C7-49B9035E8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98c5b-eb8b-44b6-acb4-096b356a2fab"/>
    <ds:schemaRef ds:uri="b90ad063-18ad-4023-a8d9-ba1a0d0e6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FD89-651D-49F5-A6DC-DA9EB4B1F50D}">
  <ds:schemaRefs>
    <ds:schemaRef ds:uri="http://schemas.microsoft.com/office/2006/metadata/properties"/>
    <ds:schemaRef ds:uri="http://schemas.microsoft.com/office/infopath/2007/PartnerControls"/>
    <ds:schemaRef ds:uri="b90ad063-18ad-4023-a8d9-ba1a0d0e66b8"/>
    <ds:schemaRef ds:uri="40598c5b-eb8b-44b6-acb4-096b356a2fab"/>
  </ds:schemaRefs>
</ds:datastoreItem>
</file>

<file path=customXml/itemProps3.xml><?xml version="1.0" encoding="utf-8"?>
<ds:datastoreItem xmlns:ds="http://schemas.openxmlformats.org/officeDocument/2006/customXml" ds:itemID="{306B2621-3F2D-4972-9254-2269A043D2D2}">
  <ds:schemaRefs>
    <ds:schemaRef ds:uri="http://schemas.microsoft.com/sharepoint/v3/contenttype/forms"/>
  </ds:schemaRefs>
</ds:datastoreItem>
</file>

<file path=customXml/itemProps4.xml><?xml version="1.0" encoding="utf-8"?>
<ds:datastoreItem xmlns:ds="http://schemas.openxmlformats.org/officeDocument/2006/customXml" ds:itemID="{79749DA5-1347-440D-A8AC-664A11EB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6942</Words>
  <Characters>38185</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FFB</Company>
  <LinksUpToDate>false</LinksUpToDate>
  <CharactersWithSpaces>45037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CUCHEVAL Anaïk ( FFB Editions Presse et communication )</dc:creator>
  <cp:keywords>2019</cp:keywords>
  <cp:lastModifiedBy>Aurelia De Courtois</cp:lastModifiedBy>
  <cp:revision>2</cp:revision>
  <cp:lastPrinted>2017-12-18T17:39:00Z</cp:lastPrinted>
  <dcterms:created xsi:type="dcterms:W3CDTF">2019-12-13T09:51:00Z</dcterms:created>
  <dcterms:modified xsi:type="dcterms:W3CDTF">2019-12-13T09:51:00Z</dcterms:modified>
  <cp:category>Conférences presse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0x010100FC0EB64245E8C943AB90D04A548EC969</vt:lpwstr>
  </property>
  <property fmtid="{D5CDD505-2E9C-101B-9397-08002B2CF9AE}" pid="3" name="IsMyDocuments">
    <vt:bool>true</vt:bool>
  </property>
  <property fmtid="{D5CDD505-2E9C-101B-9397-08002B2CF9AE}" pid="4" name="Thèmes du document">
    <vt:lpwstr>27;#Documents provisoires|30b414c5-c73a-4a2f-bfe1-8284126dc5b0</vt:lpwstr>
  </property>
</Properties>
</file>